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2" w:rsidRPr="00B729A6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A6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F13021" w:rsidRPr="00B729A6" w:rsidRDefault="00FF6762" w:rsidP="00F13021">
      <w:pPr>
        <w:tabs>
          <w:tab w:val="left" w:pos="3060"/>
        </w:tabs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9A6">
        <w:rPr>
          <w:rFonts w:ascii="Times New Roman" w:hAnsi="Times New Roman" w:cs="Times New Roman"/>
          <w:b/>
          <w:sz w:val="28"/>
          <w:szCs w:val="28"/>
        </w:rPr>
        <w:t xml:space="preserve">про встановлення тарифів </w:t>
      </w:r>
      <w:r w:rsidR="00F13021" w:rsidRPr="00B7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теплову енергію, її виробництво та постачання, послуги з постачання теплової енергії, постачання гарячої води від ТОВ „Сумитеплоенерго” на 202</w:t>
      </w:r>
      <w:r w:rsidR="001E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13021" w:rsidRPr="00B7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13021" w:rsidRPr="00B7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E3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13021" w:rsidRPr="00B7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:rsidR="00F13021" w:rsidRPr="00B729A6" w:rsidRDefault="00F13021" w:rsidP="00F13021">
      <w:pPr>
        <w:tabs>
          <w:tab w:val="left" w:pos="3060"/>
        </w:tabs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для дахової котельні по вул. Г.Кондрат’єва, 25/1</w:t>
      </w:r>
    </w:p>
    <w:p w:rsidR="00FF6762" w:rsidRPr="00B729A6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B729A6" w:rsidRDefault="00F13021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991" w:rsidRPr="00B729A6">
        <w:rPr>
          <w:rFonts w:ascii="Times New Roman" w:hAnsi="Times New Roman" w:cs="Times New Roman"/>
          <w:sz w:val="24"/>
          <w:szCs w:val="24"/>
        </w:rPr>
        <w:t xml:space="preserve">   </w:t>
      </w:r>
      <w:r w:rsidRPr="00B729A6">
        <w:rPr>
          <w:rFonts w:ascii="Times New Roman" w:hAnsi="Times New Roman" w:cs="Times New Roman"/>
          <w:sz w:val="24"/>
          <w:szCs w:val="24"/>
        </w:rPr>
        <w:t xml:space="preserve"> </w:t>
      </w:r>
      <w:r w:rsidR="00FF6762" w:rsidRPr="00B729A6">
        <w:rPr>
          <w:rFonts w:ascii="Times New Roman" w:hAnsi="Times New Roman" w:cs="Times New Roman"/>
          <w:sz w:val="24"/>
          <w:szCs w:val="24"/>
        </w:rPr>
        <w:t xml:space="preserve">На виконання вимог «Порядку інформування споживачів про намір зміни цін/тарифів на комунальні послуги з обґрунтуванням такої необхідності», затвердженого Наказом Міністерства регіонального розвитку, будівництва та житлово-комунального господарства України №130 від 05.06.2018 року, ТОВ «Сумитеплоенерго» повідомляє територіальну громаду міста Суми про заплановане встановлення ТОВ «Сумитеплоенерго» </w:t>
      </w:r>
      <w:r w:rsidRPr="00B72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 на теплову енергію, її виробництво та постачання, послуги з постачання теплової енергії, постачання гарячої води від ТОВ „Сумитеплоенерго” на 202</w:t>
      </w:r>
      <w:r w:rsidR="001E31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29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31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29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31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рік </w:t>
      </w:r>
      <w:r w:rsidRPr="00B729A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дахової котельні по вул. Г.Кондрат’єва, 25/1</w:t>
      </w:r>
      <w:r w:rsidR="00FF6762" w:rsidRPr="00B729A6">
        <w:rPr>
          <w:rFonts w:ascii="Times New Roman" w:hAnsi="Times New Roman" w:cs="Times New Roman"/>
          <w:sz w:val="24"/>
          <w:szCs w:val="24"/>
        </w:rPr>
        <w:t>.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color w:val="1F497D"/>
        </w:rPr>
      </w:pPr>
      <w:r w:rsidRPr="00B729A6">
        <w:rPr>
          <w:color w:val="1F497D"/>
        </w:rPr>
        <w:t xml:space="preserve">               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Відповідно до «Порядку формування тарифів на теплову енергію, її виробництво, транспортування та постачання», затвердженого постановою КМУ від 01.06.2011р. №869 «Про забезпечення єдиного підходу до формування тарифів на комунальні послуги (із змінами), тарифи на теплову енергію, що виробляється та постачається за допомогою систем автономного опалення</w:t>
      </w:r>
      <w:r w:rsidR="00B53469"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>формуються та встановлюються окремо для кожного багатоквартирного будинку, обладнаного системою автономного опалення</w:t>
      </w:r>
      <w:r w:rsidR="00B53469"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урахуванням собівартості виробництва і постачання теплової енергії на таких системах, а також рентабельності ліцензіата.</w:t>
      </w:r>
    </w:p>
    <w:p w:rsidR="007A14B0" w:rsidRPr="00B729A6" w:rsidRDefault="007A14B0" w:rsidP="00F1302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62" w:rsidRPr="008E451D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6762" w:rsidRPr="008E451D">
        <w:rPr>
          <w:rFonts w:ascii="Times New Roman" w:hAnsi="Times New Roman" w:cs="Times New Roman"/>
          <w:sz w:val="24"/>
          <w:szCs w:val="24"/>
        </w:rPr>
        <w:t>Загальний розмір планованого тарифу на теплову енергію для відповідних категорій споживачів наведено у таблиці №1.</w:t>
      </w:r>
    </w:p>
    <w:p w:rsidR="00F13021" w:rsidRPr="008E451D" w:rsidRDefault="00F13021" w:rsidP="00F1302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E45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B0" w:rsidRPr="008E451D">
        <w:rPr>
          <w:rFonts w:ascii="Times New Roman" w:hAnsi="Times New Roman" w:cs="Times New Roman"/>
          <w:sz w:val="24"/>
          <w:szCs w:val="24"/>
        </w:rPr>
        <w:t xml:space="preserve"> </w:t>
      </w:r>
      <w:r w:rsidRPr="008E4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Таблиця №1. Тарифи на теплову енергію </w:t>
      </w:r>
      <w:r w:rsidRPr="008E45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(САО,</w:t>
      </w:r>
      <w:r w:rsidRPr="008E45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вул. Г.Кондрат’єва, 25/1)</w:t>
      </w:r>
      <w:r w:rsidRPr="008E45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tbl>
      <w:tblPr>
        <w:tblW w:w="9529" w:type="dxa"/>
        <w:tblLook w:val="04A0" w:firstRow="1" w:lastRow="0" w:firstColumn="1" w:lastColumn="0" w:noHBand="0" w:noVBand="1"/>
      </w:tblPr>
      <w:tblGrid>
        <w:gridCol w:w="2442"/>
        <w:gridCol w:w="1559"/>
        <w:gridCol w:w="2693"/>
        <w:gridCol w:w="2835"/>
      </w:tblGrid>
      <w:tr w:rsidR="00F13021" w:rsidRPr="008E451D" w:rsidTr="008C7FE0">
        <w:trPr>
          <w:trHeight w:val="121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Діючий тариф, грн</w:t>
            </w:r>
            <w:r w:rsidR="00950D9A"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/Гкал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E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</w:t>
            </w:r>
            <w:r w:rsidR="008E451D"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1.202</w:t>
            </w:r>
            <w:r w:rsidR="008E451D"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року, грн</w:t>
            </w:r>
            <w:r w:rsidR="00950D9A"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/Гкал </w:t>
            </w:r>
          </w:p>
        </w:tc>
      </w:tr>
      <w:tr w:rsidR="00F13021" w:rsidRPr="008E451D" w:rsidTr="008C7FE0">
        <w:trPr>
          <w:trHeight w:val="3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F13021" w:rsidRPr="008E451D" w:rsidTr="008C7FE0">
        <w:trPr>
          <w:trHeight w:val="6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8E451D" w:rsidP="00C0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1540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00E1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8E451D" w:rsidP="004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F13021" w:rsidRPr="008E451D" w:rsidTr="008C7FE0">
        <w:trPr>
          <w:trHeight w:val="60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8E451D" w:rsidP="008E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2584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8E451D" w:rsidP="004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F13021" w:rsidRPr="001E3100" w:rsidTr="008C7FE0">
        <w:trPr>
          <w:trHeight w:val="60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F13021" w:rsidP="008C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8E451D" w:rsidP="008E4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3559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021" w:rsidRPr="008E451D" w:rsidRDefault="008E451D" w:rsidP="004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E45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F13021" w:rsidRPr="008E451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</w:tbl>
    <w:p w:rsidR="00F13021" w:rsidRPr="001E3100" w:rsidRDefault="00F13021" w:rsidP="00F130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</w:rPr>
      </w:pPr>
    </w:p>
    <w:p w:rsidR="00AD6896" w:rsidRPr="008E451D" w:rsidRDefault="000B1C77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8E45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896" w:rsidRPr="008E451D">
        <w:rPr>
          <w:rFonts w:ascii="Times New Roman" w:hAnsi="Times New Roman" w:cs="Times New Roman"/>
          <w:sz w:val="24"/>
          <w:szCs w:val="24"/>
        </w:rPr>
        <w:t>Структура планованого тарифу на теплову енергію, її виробництво та постачання наведена у додатках 1-</w:t>
      </w:r>
      <w:r w:rsidR="003A4D7C" w:rsidRPr="008E451D">
        <w:rPr>
          <w:rFonts w:ascii="Times New Roman" w:hAnsi="Times New Roman" w:cs="Times New Roman"/>
          <w:sz w:val="24"/>
          <w:szCs w:val="24"/>
        </w:rPr>
        <w:t>3</w:t>
      </w:r>
      <w:r w:rsidR="00AD6896" w:rsidRPr="008E451D">
        <w:rPr>
          <w:rFonts w:ascii="Times New Roman" w:hAnsi="Times New Roman" w:cs="Times New Roman"/>
          <w:sz w:val="24"/>
          <w:szCs w:val="24"/>
        </w:rPr>
        <w:t xml:space="preserve"> до даного оголошення.</w:t>
      </w:r>
    </w:p>
    <w:p w:rsidR="000B1C77" w:rsidRPr="008E451D" w:rsidRDefault="00851588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8E45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C77" w:rsidRPr="008E451D">
        <w:rPr>
          <w:rFonts w:ascii="Times New Roman" w:hAnsi="Times New Roman" w:cs="Times New Roman"/>
          <w:sz w:val="24"/>
          <w:szCs w:val="24"/>
        </w:rPr>
        <w:t xml:space="preserve">Загальний розмір планованого тарифу на послугу з постачання теплової енергії </w:t>
      </w:r>
      <w:r w:rsidR="004435FD" w:rsidRPr="008E451D">
        <w:rPr>
          <w:rFonts w:ascii="Times New Roman" w:hAnsi="Times New Roman" w:cs="Times New Roman"/>
          <w:sz w:val="24"/>
          <w:szCs w:val="24"/>
        </w:rPr>
        <w:t xml:space="preserve">та гарячої води </w:t>
      </w:r>
      <w:r w:rsidR="00F91B7A" w:rsidRPr="008E451D">
        <w:rPr>
          <w:rFonts w:ascii="Times New Roman" w:hAnsi="Times New Roman" w:cs="Times New Roman"/>
          <w:sz w:val="24"/>
          <w:szCs w:val="24"/>
        </w:rPr>
        <w:t>за категоріями споживачів</w:t>
      </w:r>
      <w:r w:rsidR="000B1C77" w:rsidRPr="008E451D">
        <w:rPr>
          <w:rFonts w:ascii="Times New Roman" w:hAnsi="Times New Roman" w:cs="Times New Roman"/>
          <w:sz w:val="24"/>
          <w:szCs w:val="24"/>
        </w:rPr>
        <w:t xml:space="preserve"> наведено у таблиц</w:t>
      </w:r>
      <w:r w:rsidR="004435FD" w:rsidRPr="008E451D">
        <w:rPr>
          <w:rFonts w:ascii="Times New Roman" w:hAnsi="Times New Roman" w:cs="Times New Roman"/>
          <w:sz w:val="24"/>
          <w:szCs w:val="24"/>
        </w:rPr>
        <w:t>ях</w:t>
      </w:r>
      <w:r w:rsidR="000B1C77" w:rsidRPr="008E451D">
        <w:rPr>
          <w:rFonts w:ascii="Times New Roman" w:hAnsi="Times New Roman" w:cs="Times New Roman"/>
          <w:sz w:val="24"/>
          <w:szCs w:val="24"/>
        </w:rPr>
        <w:t xml:space="preserve"> №</w:t>
      </w:r>
      <w:r w:rsidR="0059457A">
        <w:rPr>
          <w:rFonts w:ascii="Times New Roman" w:hAnsi="Times New Roman" w:cs="Times New Roman"/>
          <w:sz w:val="24"/>
          <w:szCs w:val="24"/>
        </w:rPr>
        <w:t>№</w:t>
      </w:r>
      <w:r w:rsidR="000B1C77" w:rsidRPr="008E451D">
        <w:rPr>
          <w:rFonts w:ascii="Times New Roman" w:hAnsi="Times New Roman" w:cs="Times New Roman"/>
          <w:sz w:val="24"/>
          <w:szCs w:val="24"/>
        </w:rPr>
        <w:t>2</w:t>
      </w:r>
      <w:r w:rsidR="004435FD" w:rsidRPr="008E451D">
        <w:rPr>
          <w:rFonts w:ascii="Times New Roman" w:hAnsi="Times New Roman" w:cs="Times New Roman"/>
          <w:sz w:val="24"/>
          <w:szCs w:val="24"/>
        </w:rPr>
        <w:t>,</w:t>
      </w:r>
      <w:r w:rsidR="0059457A">
        <w:rPr>
          <w:rFonts w:ascii="Times New Roman" w:hAnsi="Times New Roman" w:cs="Times New Roman"/>
          <w:sz w:val="24"/>
          <w:szCs w:val="24"/>
        </w:rPr>
        <w:t xml:space="preserve"> </w:t>
      </w:r>
      <w:r w:rsidR="004435FD" w:rsidRPr="008E451D">
        <w:rPr>
          <w:rFonts w:ascii="Times New Roman" w:hAnsi="Times New Roman" w:cs="Times New Roman"/>
          <w:sz w:val="24"/>
          <w:szCs w:val="24"/>
        </w:rPr>
        <w:t>3</w:t>
      </w:r>
      <w:r w:rsidR="000B1C77" w:rsidRPr="008E45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49" w:type="dxa"/>
        <w:tblInd w:w="142" w:type="dxa"/>
        <w:tblLook w:val="04A0" w:firstRow="1" w:lastRow="0" w:firstColumn="1" w:lastColumn="0" w:noHBand="0" w:noVBand="1"/>
      </w:tblPr>
      <w:tblGrid>
        <w:gridCol w:w="1882"/>
        <w:gridCol w:w="1520"/>
        <w:gridCol w:w="2126"/>
        <w:gridCol w:w="2268"/>
        <w:gridCol w:w="1854"/>
        <w:gridCol w:w="299"/>
      </w:tblGrid>
      <w:tr w:rsidR="008168CE" w:rsidRPr="001E3100" w:rsidTr="008C7FE0">
        <w:trPr>
          <w:trHeight w:val="64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8CE" w:rsidRPr="00330C23" w:rsidRDefault="008168CE" w:rsidP="005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3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   </w:t>
            </w:r>
            <w:r w:rsidR="00ED7991" w:rsidRPr="0033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33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D3806" w:rsidRPr="0033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Таблиця №2. </w:t>
            </w:r>
            <w:r w:rsidRPr="00330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Тарифи на послугу з постачання теплової енергії </w:t>
            </w:r>
            <w:r w:rsidRPr="00330C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(САО,</w:t>
            </w:r>
            <w:r w:rsidRPr="0033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Г.Кондрат’єва, 25/1)</w:t>
            </w:r>
            <w:r w:rsidRPr="00330C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8168CE" w:rsidRPr="00330C23" w:rsidRDefault="008168CE" w:rsidP="0081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9647" w:type="dxa"/>
              <w:tblLook w:val="04A0" w:firstRow="1" w:lastRow="0" w:firstColumn="1" w:lastColumn="0" w:noHBand="0" w:noVBand="1"/>
            </w:tblPr>
            <w:tblGrid>
              <w:gridCol w:w="2560"/>
              <w:gridCol w:w="1559"/>
              <w:gridCol w:w="2693"/>
              <w:gridCol w:w="2835"/>
            </w:tblGrid>
            <w:tr w:rsidR="008168CE" w:rsidRPr="00330C23" w:rsidTr="008C7FE0">
              <w:trPr>
                <w:trHeight w:val="1215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Категорія споживачів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Діючий тариф, грн</w:t>
                  </w:r>
                  <w:r w:rsidR="00950D9A"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/Гкал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330C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Розрахункові тарифи з 01.</w:t>
                  </w:r>
                  <w:r w:rsid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</w:t>
                  </w: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1.202</w:t>
                  </w:r>
                  <w:r w:rsid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року, грн</w:t>
                  </w:r>
                  <w:r w:rsidR="00950D9A"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.</w:t>
                  </w: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/Гкал </w:t>
                  </w:r>
                </w:p>
              </w:tc>
            </w:tr>
            <w:tr w:rsidR="008168CE" w:rsidRPr="00330C23" w:rsidTr="008C7FE0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ED5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168CE" w:rsidRPr="00330C23" w:rsidTr="008C7FE0">
              <w:trPr>
                <w:trHeight w:val="6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Населення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E451D" w:rsidP="008E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1 848</w:t>
                  </w:r>
                  <w:r w:rsidR="008168CE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E451D" w:rsidP="00472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ED7991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="00472394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C00E1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="008168CE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="00472394">
                    <w:rPr>
                      <w:rFonts w:ascii="Times New Roman" w:eastAsia="Times New Roman" w:hAnsi="Times New Roman" w:cs="Times New Roman"/>
                      <w:color w:val="000000"/>
                    </w:rPr>
                    <w:t>00</w:t>
                  </w:r>
                </w:p>
              </w:tc>
            </w:tr>
            <w:tr w:rsidR="008168CE" w:rsidRPr="00330C23" w:rsidTr="008C7FE0">
              <w:trPr>
                <w:trHeight w:val="600"/>
              </w:trPr>
              <w:tc>
                <w:tcPr>
                  <w:tcW w:w="2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Бюджетні споживачі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E451D" w:rsidP="008E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3 101</w:t>
                  </w:r>
                  <w:r w:rsidR="008168CE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,0</w:t>
                  </w: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E451D" w:rsidP="00472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ED7991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C00E1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="00472394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  <w:r w:rsidR="00ED7991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="00C00E1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="0047239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  <w:tr w:rsidR="008168CE" w:rsidRPr="001E3100" w:rsidTr="008C7FE0">
              <w:trPr>
                <w:trHeight w:val="600"/>
              </w:trPr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Інші споживачі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168CE" w:rsidP="00816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з ПДВ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E451D" w:rsidP="008E45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4 270</w:t>
                  </w:r>
                  <w:r w:rsidR="008168CE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8CE" w:rsidRPr="00330C23" w:rsidRDefault="008E451D" w:rsidP="004723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ED7991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C00E1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="00472394"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  <w:r w:rsidR="008168CE" w:rsidRPr="00330C23">
                    <w:rPr>
                      <w:rFonts w:ascii="Times New Roman" w:eastAsia="Times New Roman" w:hAnsi="Times New Roman" w:cs="Times New Roman"/>
                      <w:color w:val="000000"/>
                    </w:rPr>
                    <w:t>,</w:t>
                  </w:r>
                  <w:r w:rsidR="00C00E1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="00472394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</w:tr>
          </w:tbl>
          <w:p w:rsidR="008168CE" w:rsidRPr="001E3100" w:rsidRDefault="008168CE" w:rsidP="0081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8168CE" w:rsidRPr="006449D6" w:rsidTr="008C7FE0">
        <w:trPr>
          <w:trHeight w:val="885"/>
        </w:trPr>
        <w:tc>
          <w:tcPr>
            <w:tcW w:w="9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991" w:rsidRPr="006449D6" w:rsidRDefault="008168CE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</w:t>
            </w:r>
          </w:p>
          <w:p w:rsidR="00ED7991" w:rsidRPr="006449D6" w:rsidRDefault="00ED7991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168CE" w:rsidRPr="006449D6" w:rsidRDefault="00ED7991" w:rsidP="005A5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</w:t>
            </w:r>
            <w:r w:rsidR="003D3806"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Таблиця 3. </w:t>
            </w:r>
            <w:r w:rsidR="008168CE"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Тариф на послугу з постачання гарячої води </w:t>
            </w:r>
            <w:r w:rsidR="008168CE" w:rsidRPr="006449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(САО,</w:t>
            </w:r>
            <w:r w:rsidR="008168CE"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168CE" w:rsidRPr="0064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Г.Кондрат’єва, 25/1)</w:t>
            </w:r>
            <w:r w:rsidR="008168CE" w:rsidRPr="006449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</w:p>
          <w:p w:rsidR="009A6E94" w:rsidRPr="006449D6" w:rsidRDefault="009A6E94" w:rsidP="003D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168CE" w:rsidRPr="006449D6" w:rsidTr="008C7FE0">
        <w:trPr>
          <w:gridAfter w:val="1"/>
          <w:wAfter w:w="299" w:type="dxa"/>
          <w:trHeight w:val="11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Категорія споживачів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Діючий тариф, грн</w:t>
            </w:r>
            <w:r w:rsidR="00950D9A"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/м3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7A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Розрахункові тарифи з 01.0</w:t>
            </w:r>
            <w:r w:rsidR="007A0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.202</w:t>
            </w:r>
            <w:r w:rsidR="007A05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року, грн</w:t>
            </w:r>
            <w:r w:rsidR="00950D9A"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/м3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Відхилення, %</w:t>
            </w:r>
          </w:p>
        </w:tc>
      </w:tr>
      <w:tr w:rsidR="008168CE" w:rsidRPr="006449D6" w:rsidTr="008C7FE0">
        <w:trPr>
          <w:gridAfter w:val="1"/>
          <w:wAfter w:w="299" w:type="dxa"/>
          <w:trHeight w:val="3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ED5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168CE" w:rsidRPr="006449D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Населення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33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30C23" w:rsidRPr="006449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30C23" w:rsidRPr="006449D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330C23" w:rsidP="004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6449D6" w:rsidRDefault="00A32701" w:rsidP="004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4723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8168CE"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4723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8168CE" w:rsidRPr="006449D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Бюджетні споживачі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330C23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330C23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8168CE" w:rsidRPr="006449D6" w:rsidTr="008C7FE0">
        <w:trPr>
          <w:gridAfter w:val="1"/>
          <w:wAfter w:w="299" w:type="dxa"/>
          <w:trHeight w:val="600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Інші споживачі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8168CE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з ПДВ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FF41EA" w:rsidP="0081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117,41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CE" w:rsidRPr="006449D6" w:rsidRDefault="00147E9E" w:rsidP="004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9D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168CE" w:rsidRPr="006449D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23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E20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CE" w:rsidRPr="006449D6" w:rsidRDefault="00FF41EA" w:rsidP="004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723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4723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</w:tbl>
    <w:p w:rsidR="006C1BDE" w:rsidRDefault="006C1BDE" w:rsidP="00FF6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5FD" w:rsidRPr="006449D6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449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47F">
        <w:rPr>
          <w:rFonts w:ascii="Times New Roman" w:hAnsi="Times New Roman" w:cs="Times New Roman"/>
          <w:sz w:val="24"/>
          <w:szCs w:val="24"/>
        </w:rPr>
        <w:t xml:space="preserve"> </w:t>
      </w:r>
      <w:r w:rsidR="004435FD" w:rsidRPr="006449D6">
        <w:rPr>
          <w:rFonts w:ascii="Times New Roman" w:hAnsi="Times New Roman" w:cs="Times New Roman"/>
          <w:sz w:val="24"/>
          <w:szCs w:val="24"/>
        </w:rPr>
        <w:t xml:space="preserve">Структура тарифу на послугу з постачання </w:t>
      </w:r>
      <w:r w:rsidR="00894A6A" w:rsidRPr="006449D6">
        <w:rPr>
          <w:rFonts w:ascii="Times New Roman" w:hAnsi="Times New Roman" w:cs="Times New Roman"/>
          <w:sz w:val="24"/>
          <w:szCs w:val="24"/>
        </w:rPr>
        <w:t>гарячої води наведена у додатку до даного оголошення.</w:t>
      </w:r>
    </w:p>
    <w:p w:rsidR="003D3806" w:rsidRPr="006449D6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449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47F">
        <w:rPr>
          <w:rFonts w:ascii="Times New Roman" w:hAnsi="Times New Roman" w:cs="Times New Roman"/>
          <w:sz w:val="24"/>
          <w:szCs w:val="24"/>
        </w:rPr>
        <w:t xml:space="preserve"> </w:t>
      </w:r>
      <w:r w:rsidR="00894A6A" w:rsidRPr="006449D6">
        <w:rPr>
          <w:rFonts w:ascii="Times New Roman" w:hAnsi="Times New Roman" w:cs="Times New Roman"/>
          <w:sz w:val="24"/>
          <w:szCs w:val="24"/>
        </w:rPr>
        <w:t xml:space="preserve">Діючі тарифи на теплову енергію для всіх груп споживачів </w:t>
      </w:r>
      <w:r w:rsidR="003D3806" w:rsidRPr="006449D6">
        <w:rPr>
          <w:rFonts w:ascii="Times New Roman" w:hAnsi="Times New Roman" w:cs="Times New Roman"/>
          <w:sz w:val="24"/>
          <w:szCs w:val="24"/>
        </w:rPr>
        <w:t xml:space="preserve">окремо для дахової котельні по вул. Г.Кондрат’єва, 25/1 </w:t>
      </w:r>
      <w:r w:rsidR="00147E9E" w:rsidRPr="006449D6">
        <w:rPr>
          <w:rFonts w:ascii="Times New Roman" w:hAnsi="Times New Roman" w:cs="Times New Roman"/>
          <w:sz w:val="24"/>
          <w:szCs w:val="24"/>
        </w:rPr>
        <w:t>встановлені рішенням виконавчого комітету Сумсь</w:t>
      </w:r>
      <w:r w:rsidR="006449D6" w:rsidRPr="006449D6">
        <w:rPr>
          <w:rFonts w:ascii="Times New Roman" w:hAnsi="Times New Roman" w:cs="Times New Roman"/>
          <w:sz w:val="24"/>
          <w:szCs w:val="24"/>
        </w:rPr>
        <w:t>кої міської ради №626 від 12.10.2021р.</w:t>
      </w:r>
    </w:p>
    <w:p w:rsidR="00E06B95" w:rsidRPr="00A10D43" w:rsidRDefault="00E06B95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A10D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347F">
        <w:rPr>
          <w:rFonts w:ascii="Times New Roman" w:hAnsi="Times New Roman" w:cs="Times New Roman"/>
          <w:sz w:val="24"/>
          <w:szCs w:val="24"/>
        </w:rPr>
        <w:t xml:space="preserve"> </w:t>
      </w:r>
      <w:r w:rsidRPr="00A10D43">
        <w:rPr>
          <w:rFonts w:ascii="Times New Roman" w:hAnsi="Times New Roman" w:cs="Times New Roman"/>
          <w:sz w:val="24"/>
          <w:szCs w:val="24"/>
        </w:rPr>
        <w:t>Основні складові частини тарифу:</w:t>
      </w:r>
    </w:p>
    <w:p w:rsidR="00CB53E7" w:rsidRPr="00CB53E7" w:rsidRDefault="00CB53E7" w:rsidP="0014126C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3E7">
        <w:rPr>
          <w:rFonts w:ascii="Times New Roman" w:eastAsia="Times New Roman" w:hAnsi="Times New Roman" w:cs="Times New Roman"/>
          <w:b/>
          <w:sz w:val="24"/>
          <w:szCs w:val="24"/>
        </w:rPr>
        <w:t>Ціна на газ.</w:t>
      </w:r>
    </w:p>
    <w:p w:rsidR="00CB53E7" w:rsidRDefault="0014126C" w:rsidP="001412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B53E7">
        <w:rPr>
          <w:rFonts w:ascii="Times New Roman" w:eastAsia="Times New Roman" w:hAnsi="Times New Roman" w:cs="Times New Roman"/>
          <w:sz w:val="24"/>
          <w:szCs w:val="24"/>
        </w:rPr>
        <w:t xml:space="preserve">Ціна природного газу для обсягу 1 (населення) та для обсягу 3 (бюджет) визначена договором №6094-ТКЕ (23)-29. </w:t>
      </w:r>
    </w:p>
    <w:p w:rsidR="00CB53E7" w:rsidRPr="00587FE0" w:rsidRDefault="00CB53E7" w:rsidP="00CB53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FE0">
        <w:rPr>
          <w:rFonts w:ascii="Times New Roman" w:eastAsia="Times New Roman" w:hAnsi="Times New Roman" w:cs="Times New Roman"/>
          <w:sz w:val="24"/>
          <w:szCs w:val="24"/>
        </w:rPr>
        <w:t xml:space="preserve">Ціна природного газу для обсягу 2 (інші споживачі) визначена </w:t>
      </w:r>
      <w:r w:rsidRPr="00587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постановою КМУ від 22.08.2023р. за №896 «Про внесення змін до постанов КМУ від 1 червня 2011р. №869 і від 19 липня 2022р. №812: «</w:t>
      </w:r>
      <w:r w:rsidRPr="00587FE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З метою формування тарифів на теплову енергію виробником теплової </w:t>
      </w:r>
      <w:r w:rsidRPr="00587FE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енергії використовується ціна природного газу обсягу II на рівні 16390 гривень з урахуванням податку на додану вартість за 1000 куб. метрів газу.</w:t>
      </w:r>
      <w:r w:rsidRPr="00587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</w:p>
    <w:p w:rsidR="00CB53E7" w:rsidRPr="005A241E" w:rsidRDefault="00CB53E7" w:rsidP="00CB53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</w:pPr>
      <w:bookmarkStart w:id="0" w:name="n1950"/>
      <w:bookmarkEnd w:id="0"/>
      <w:r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>Таким чином, ц</w:t>
      </w:r>
      <w:r w:rsidRPr="005A241E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>іна природного газу за 1000 м куб (без ПДВ):</w:t>
      </w:r>
    </w:p>
    <w:p w:rsidR="00CB53E7" w:rsidRPr="005A241E" w:rsidRDefault="00CB53E7" w:rsidP="00CB53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</w:pPr>
      <w:r w:rsidRPr="005A241E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 xml:space="preserve">- для обсягу 1 (населення) – 6 183,33 грн., </w:t>
      </w:r>
    </w:p>
    <w:p w:rsidR="00CB53E7" w:rsidRPr="00EB4DE5" w:rsidRDefault="00CB53E7" w:rsidP="00CB53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/>
        </w:rPr>
      </w:pPr>
      <w:r w:rsidRPr="005A241E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 xml:space="preserve">- для обсягу 2 (інші споживачі) – </w:t>
      </w:r>
      <w:r w:rsidRPr="00587FE0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>13 658,3</w:t>
      </w: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>3</w:t>
      </w:r>
      <w:r w:rsidRPr="005A241E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 xml:space="preserve"> грн.,</w:t>
      </w:r>
    </w:p>
    <w:p w:rsidR="00CB53E7" w:rsidRPr="005A241E" w:rsidRDefault="00CB53E7" w:rsidP="00CB53E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</w:pPr>
      <w:r w:rsidRPr="005A241E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>- для обсягу 3 (бюджет) – 13 658,</w:t>
      </w:r>
      <w:r>
        <w:rPr>
          <w:rFonts w:ascii="Times New Roman" w:eastAsia="Times New Roman" w:hAnsi="Times New Roman" w:cs="Times New Roman"/>
          <w:iCs/>
          <w:color w:val="212529"/>
          <w:sz w:val="24"/>
          <w:szCs w:val="24"/>
          <w:lang w:val="ru-RU"/>
        </w:rPr>
        <w:t>33</w:t>
      </w:r>
      <w:r w:rsidRPr="005A241E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 xml:space="preserve"> грн.</w:t>
      </w:r>
    </w:p>
    <w:p w:rsidR="00046051" w:rsidRPr="0014126C" w:rsidRDefault="00CB53E7" w:rsidP="00046051">
      <w:pPr>
        <w:jc w:val="both"/>
        <w:rPr>
          <w:rFonts w:ascii="Times New Roman" w:hAnsi="Times New Roman" w:cs="Times New Roman"/>
          <w:sz w:val="24"/>
          <w:szCs w:val="24"/>
        </w:rPr>
      </w:pPr>
      <w:r w:rsidRPr="0014126C">
        <w:rPr>
          <w:rFonts w:ascii="Times New Roman" w:hAnsi="Times New Roman" w:cs="Times New Roman"/>
          <w:sz w:val="24"/>
          <w:szCs w:val="24"/>
        </w:rPr>
        <w:t xml:space="preserve">       2)</w:t>
      </w:r>
      <w:r w:rsidR="00935357" w:rsidRPr="0014126C">
        <w:rPr>
          <w:rFonts w:ascii="Times New Roman" w:hAnsi="Times New Roman" w:cs="Times New Roman"/>
          <w:sz w:val="24"/>
          <w:szCs w:val="24"/>
        </w:rPr>
        <w:t xml:space="preserve"> </w:t>
      </w:r>
      <w:r w:rsidR="00046051" w:rsidRPr="0014126C">
        <w:rPr>
          <w:rFonts w:ascii="Times New Roman" w:hAnsi="Times New Roman" w:cs="Times New Roman"/>
          <w:sz w:val="24"/>
          <w:szCs w:val="24"/>
        </w:rPr>
        <w:t xml:space="preserve"> </w:t>
      </w:r>
      <w:r w:rsidR="00046051" w:rsidRPr="0014126C">
        <w:rPr>
          <w:rFonts w:ascii="Times New Roman" w:hAnsi="Times New Roman" w:cs="Times New Roman"/>
          <w:b/>
          <w:bCs/>
          <w:sz w:val="24"/>
          <w:szCs w:val="24"/>
        </w:rPr>
        <w:t>Матеріали, виробничі послуги та інші виробничі та господарські витрати:</w:t>
      </w:r>
      <w:r w:rsidR="00046051" w:rsidRPr="0014126C">
        <w:rPr>
          <w:rFonts w:ascii="Times New Roman" w:hAnsi="Times New Roman" w:cs="Times New Roman"/>
          <w:sz w:val="24"/>
          <w:szCs w:val="24"/>
        </w:rPr>
        <w:t xml:space="preserve"> згідно поточних цін 202</w:t>
      </w:r>
      <w:r w:rsidR="00F865A6" w:rsidRPr="0014126C">
        <w:rPr>
          <w:rFonts w:ascii="Times New Roman" w:hAnsi="Times New Roman" w:cs="Times New Roman"/>
          <w:sz w:val="24"/>
          <w:szCs w:val="24"/>
        </w:rPr>
        <w:t>3</w:t>
      </w:r>
      <w:r w:rsidR="00046051" w:rsidRPr="0014126C">
        <w:rPr>
          <w:rFonts w:ascii="Times New Roman" w:hAnsi="Times New Roman" w:cs="Times New Roman"/>
          <w:sz w:val="24"/>
          <w:szCs w:val="24"/>
        </w:rPr>
        <w:t xml:space="preserve"> року та діючих договорів.</w:t>
      </w:r>
    </w:p>
    <w:p w:rsidR="0014126C" w:rsidRPr="0014126C" w:rsidRDefault="0014126C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14126C">
        <w:rPr>
          <w:rFonts w:ascii="Times New Roman" w:hAnsi="Times New Roman" w:cs="Times New Roman"/>
          <w:sz w:val="24"/>
          <w:szCs w:val="24"/>
        </w:rPr>
        <w:t xml:space="preserve">       3) </w:t>
      </w:r>
      <w:r w:rsidR="00935357" w:rsidRPr="0014126C">
        <w:rPr>
          <w:rFonts w:ascii="Times New Roman" w:hAnsi="Times New Roman" w:cs="Times New Roman"/>
          <w:b/>
          <w:sz w:val="24"/>
          <w:szCs w:val="24"/>
        </w:rPr>
        <w:t>Ф</w:t>
      </w:r>
      <w:r w:rsidR="008B008C" w:rsidRPr="0014126C">
        <w:rPr>
          <w:rFonts w:ascii="Times New Roman" w:hAnsi="Times New Roman" w:cs="Times New Roman"/>
          <w:b/>
          <w:sz w:val="24"/>
          <w:szCs w:val="24"/>
        </w:rPr>
        <w:t>онд оплати праці:</w:t>
      </w:r>
      <w:r w:rsidR="00935357" w:rsidRPr="0014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6C" w:rsidRPr="005A241E" w:rsidRDefault="0014126C" w:rsidP="0014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75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A2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Витрати на оплату праці для включення до тарифів на виробництво теплової енергії та постачання здійснені </w:t>
      </w:r>
      <w:r w:rsidRPr="005A241E">
        <w:rPr>
          <w:rFonts w:ascii="Times New Roman" w:hAnsi="Times New Roman" w:cs="Times New Roman"/>
          <w:sz w:val="24"/>
          <w:szCs w:val="24"/>
        </w:rPr>
        <w:t>відповідно до вимог ЗУ «Про оплату праці», ЗУ «Про державний бюджет України на 2023 рік», норм Галузевої  угоди, колдоговору підприємства,</w:t>
      </w:r>
      <w:r w:rsidRPr="005A2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із забезпеченням мінімальної заробітної плати та інших гарантій з оплати праці, положень механізму визначення витрат на оплату праці, які враховуються в тарифах на виробництво теплової енергії, її транспортування та постачання.</w:t>
      </w:r>
      <w:r w:rsidRPr="00786EA3">
        <w:t xml:space="preserve"> </w:t>
      </w:r>
      <w:r w:rsidRPr="00786EA3">
        <w:rPr>
          <w:rFonts w:ascii="Times New Roman" w:hAnsi="Times New Roman" w:cs="Times New Roman"/>
          <w:sz w:val="24"/>
          <w:szCs w:val="24"/>
          <w:shd w:val="clear" w:color="auto" w:fill="FFFFFF"/>
        </w:rPr>
        <w:t>Розрахунок</w:t>
      </w:r>
      <w:r>
        <w:t xml:space="preserve"> </w:t>
      </w:r>
      <w:r w:rsidRPr="00786EA3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здійснюється із забезпеченням рівня середньомісячної номінальної заробітної плати в розрахунку на одного штатного працівника, зайнятого у промисловості адміністративно-територіальної одиниці, на території якої провадиться діяльність ліцензіата. В зв’язку відсутністю статистичних даних в період військового стану (згідно Закону України від 03.03.2022р. № 2115-ІХ «Про захист інтересів суб’єктів надання звітності та інших документів у період дії воєнного стану або стану війни», розрахунок здійснено на підставі статистичних даних за січень 2022р. з урахуванням зростання розміру прожиткового мінімуму для працездатних осіб.</w:t>
      </w:r>
    </w:p>
    <w:p w:rsidR="0014126C" w:rsidRPr="005A241E" w:rsidRDefault="0014126C" w:rsidP="0014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974">
        <w:rPr>
          <w:rFonts w:ascii="Times New Roman" w:hAnsi="Times New Roman" w:cs="Times New Roman"/>
          <w:sz w:val="24"/>
          <w:szCs w:val="24"/>
        </w:rPr>
        <w:t xml:space="preserve">  </w:t>
      </w:r>
      <w:r w:rsidRPr="005A241E">
        <w:rPr>
          <w:rFonts w:ascii="Times New Roman" w:hAnsi="Times New Roman" w:cs="Times New Roman"/>
          <w:sz w:val="24"/>
          <w:szCs w:val="24"/>
        </w:rPr>
        <w:t>Розрахунок планового фонду оплати праці проведено наступним чином:</w:t>
      </w:r>
    </w:p>
    <w:p w:rsidR="0014126C" w:rsidRPr="005A241E" w:rsidRDefault="0014126C" w:rsidP="0014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1E">
        <w:rPr>
          <w:rFonts w:ascii="Times New Roman" w:hAnsi="Times New Roman" w:cs="Times New Roman"/>
          <w:sz w:val="24"/>
          <w:szCs w:val="24"/>
        </w:rPr>
        <w:t>- при розрахунку тарифних ставок і посадових окладів застосовано коефіцієнт співвідношення до тарифної ставки робітника 1 розряду 1,8;</w:t>
      </w:r>
    </w:p>
    <w:p w:rsidR="0014126C" w:rsidRPr="005A241E" w:rsidRDefault="0014126C" w:rsidP="0014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1E">
        <w:rPr>
          <w:rFonts w:ascii="Times New Roman" w:hAnsi="Times New Roman" w:cs="Times New Roman"/>
          <w:sz w:val="24"/>
          <w:szCs w:val="24"/>
        </w:rPr>
        <w:t>- прожитковий мінімум працездатних осіб прийнято на рівні 2684 грн., що встановлений ЗУ «Про державний бюджет України на 2023 рік;</w:t>
      </w:r>
    </w:p>
    <w:p w:rsidR="0014126C" w:rsidRPr="005A241E" w:rsidRDefault="0014126C" w:rsidP="0014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1E">
        <w:rPr>
          <w:rFonts w:ascii="Times New Roman" w:hAnsi="Times New Roman" w:cs="Times New Roman"/>
          <w:sz w:val="24"/>
          <w:szCs w:val="24"/>
        </w:rPr>
        <w:t>- коефіцієнт за підгалузями прийнято згідно Галузевої  угоди;</w:t>
      </w:r>
    </w:p>
    <w:p w:rsidR="0014126C" w:rsidRPr="005C6B4B" w:rsidRDefault="0014126C" w:rsidP="0014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1E">
        <w:rPr>
          <w:rFonts w:ascii="Times New Roman" w:hAnsi="Times New Roman" w:cs="Times New Roman"/>
          <w:sz w:val="24"/>
          <w:szCs w:val="24"/>
        </w:rPr>
        <w:t>- розрахунок доплат і надбавок здійснено відповідно до КЗпПУ.</w:t>
      </w:r>
      <w:r w:rsidRPr="005C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20" w:rsidRPr="00244207" w:rsidRDefault="000B0820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68" w:rsidRPr="00B729A6" w:rsidRDefault="008416CB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2442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968" w:rsidRPr="00244207">
        <w:rPr>
          <w:rFonts w:ascii="Times New Roman" w:hAnsi="Times New Roman" w:cs="Times New Roman"/>
          <w:sz w:val="24"/>
          <w:szCs w:val="24"/>
        </w:rPr>
        <w:t xml:space="preserve">Зауваження і пропозиції з приводу коригування тарифів на теплопостачання можуть бути надані ТОВ «Сумитеплоенерго» у письмовому вигляді за адресою: 40021, м. Суми, вул. Лебединська, 7, або ж у електронному вигляді на адресу електронної пошти: </w:t>
      </w:r>
      <w:hyperlink r:id="rId8" w:history="1">
        <w:r w:rsidRPr="00244207">
          <w:rPr>
            <w:rStyle w:val="ae"/>
            <w:rFonts w:ascii="Times New Roman" w:hAnsi="Times New Roman" w:cs="Times New Roman"/>
            <w:sz w:val="24"/>
            <w:szCs w:val="24"/>
          </w:rPr>
          <w:t>zkanc@teko.sumy.ua</w:t>
        </w:r>
      </w:hyperlink>
      <w:r w:rsidRPr="00244207">
        <w:rPr>
          <w:rFonts w:ascii="Times New Roman" w:hAnsi="Times New Roman" w:cs="Times New Roman"/>
          <w:sz w:val="24"/>
          <w:szCs w:val="24"/>
        </w:rPr>
        <w:t xml:space="preserve"> протягом </w:t>
      </w:r>
      <w:r w:rsidR="00244207" w:rsidRPr="00244207">
        <w:rPr>
          <w:rFonts w:ascii="Times New Roman" w:hAnsi="Times New Roman" w:cs="Times New Roman"/>
          <w:sz w:val="24"/>
          <w:szCs w:val="24"/>
        </w:rPr>
        <w:t>12</w:t>
      </w:r>
      <w:r w:rsidRPr="00244207">
        <w:rPr>
          <w:rFonts w:ascii="Times New Roman" w:hAnsi="Times New Roman" w:cs="Times New Roman"/>
          <w:sz w:val="24"/>
          <w:szCs w:val="24"/>
        </w:rPr>
        <w:t xml:space="preserve"> календарних днів з дня повідомлення споживачів про намір встановлення тарифів, тобто з </w:t>
      </w:r>
      <w:r w:rsidR="00244207" w:rsidRPr="00244207">
        <w:rPr>
          <w:rFonts w:ascii="Times New Roman" w:hAnsi="Times New Roman" w:cs="Times New Roman"/>
          <w:sz w:val="24"/>
          <w:szCs w:val="24"/>
        </w:rPr>
        <w:t>22</w:t>
      </w:r>
      <w:r w:rsidRPr="00244207">
        <w:rPr>
          <w:rFonts w:ascii="Times New Roman" w:hAnsi="Times New Roman" w:cs="Times New Roman"/>
          <w:sz w:val="24"/>
          <w:szCs w:val="24"/>
        </w:rPr>
        <w:t xml:space="preserve"> </w:t>
      </w:r>
      <w:r w:rsidR="00CB53E7" w:rsidRPr="00244207">
        <w:rPr>
          <w:rFonts w:ascii="Times New Roman" w:hAnsi="Times New Roman" w:cs="Times New Roman"/>
          <w:sz w:val="24"/>
          <w:szCs w:val="24"/>
        </w:rPr>
        <w:t>груд</w:t>
      </w:r>
      <w:r w:rsidRPr="00244207">
        <w:rPr>
          <w:rFonts w:ascii="Times New Roman" w:hAnsi="Times New Roman" w:cs="Times New Roman"/>
          <w:sz w:val="24"/>
          <w:szCs w:val="24"/>
        </w:rPr>
        <w:t>ня 202</w:t>
      </w:r>
      <w:r w:rsidR="00CB53E7" w:rsidRPr="00244207">
        <w:rPr>
          <w:rFonts w:ascii="Times New Roman" w:hAnsi="Times New Roman" w:cs="Times New Roman"/>
          <w:sz w:val="24"/>
          <w:szCs w:val="24"/>
        </w:rPr>
        <w:t>3</w:t>
      </w:r>
      <w:r w:rsidRPr="00244207">
        <w:rPr>
          <w:rFonts w:ascii="Times New Roman" w:hAnsi="Times New Roman" w:cs="Times New Roman"/>
          <w:sz w:val="24"/>
          <w:szCs w:val="24"/>
        </w:rPr>
        <w:t xml:space="preserve"> року по 17-00 </w:t>
      </w:r>
      <w:r w:rsidR="00244207" w:rsidRPr="00244207">
        <w:rPr>
          <w:rFonts w:ascii="Times New Roman" w:hAnsi="Times New Roman" w:cs="Times New Roman"/>
          <w:sz w:val="24"/>
          <w:szCs w:val="24"/>
        </w:rPr>
        <w:t>2</w:t>
      </w:r>
      <w:r w:rsidRPr="00244207">
        <w:rPr>
          <w:rFonts w:ascii="Times New Roman" w:hAnsi="Times New Roman" w:cs="Times New Roman"/>
          <w:sz w:val="24"/>
          <w:szCs w:val="24"/>
        </w:rPr>
        <w:t xml:space="preserve"> </w:t>
      </w:r>
      <w:r w:rsidR="00244207" w:rsidRPr="00244207">
        <w:rPr>
          <w:rFonts w:ascii="Times New Roman" w:hAnsi="Times New Roman" w:cs="Times New Roman"/>
          <w:sz w:val="24"/>
          <w:szCs w:val="24"/>
        </w:rPr>
        <w:t>січ</w:t>
      </w:r>
      <w:r w:rsidRPr="00244207">
        <w:rPr>
          <w:rFonts w:ascii="Times New Roman" w:hAnsi="Times New Roman" w:cs="Times New Roman"/>
          <w:sz w:val="24"/>
          <w:szCs w:val="24"/>
        </w:rPr>
        <w:t>ня 202</w:t>
      </w:r>
      <w:r w:rsidR="00244207" w:rsidRPr="00244207">
        <w:rPr>
          <w:rFonts w:ascii="Times New Roman" w:hAnsi="Times New Roman" w:cs="Times New Roman"/>
          <w:sz w:val="24"/>
          <w:szCs w:val="24"/>
        </w:rPr>
        <w:t>4</w:t>
      </w:r>
      <w:r w:rsidRPr="00244207">
        <w:rPr>
          <w:rFonts w:ascii="Times New Roman" w:hAnsi="Times New Roman" w:cs="Times New Roman"/>
          <w:sz w:val="24"/>
          <w:szCs w:val="24"/>
        </w:rPr>
        <w:t xml:space="preserve"> року включно.</w:t>
      </w:r>
      <w:bookmarkStart w:id="1" w:name="_GoBack"/>
      <w:bookmarkEnd w:id="1"/>
      <w:r w:rsidR="00CB1968" w:rsidRPr="00B729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968" w:rsidRPr="00B729A6" w:rsidSect="00A759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B82" w:rsidRDefault="00665B82" w:rsidP="00D7111D">
      <w:pPr>
        <w:spacing w:after="0" w:line="240" w:lineRule="auto"/>
      </w:pPr>
      <w:r>
        <w:separator/>
      </w:r>
    </w:p>
  </w:endnote>
  <w:endnote w:type="continuationSeparator" w:id="0">
    <w:p w:rsidR="00665B82" w:rsidRDefault="00665B82" w:rsidP="00D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B82" w:rsidRDefault="00665B82" w:rsidP="00D7111D">
      <w:pPr>
        <w:spacing w:after="0" w:line="240" w:lineRule="auto"/>
      </w:pPr>
      <w:r>
        <w:separator/>
      </w:r>
    </w:p>
  </w:footnote>
  <w:footnote w:type="continuationSeparator" w:id="0">
    <w:p w:rsidR="00665B82" w:rsidRDefault="00665B82" w:rsidP="00D7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6E"/>
    <w:multiLevelType w:val="multilevel"/>
    <w:tmpl w:val="FBD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E0D"/>
    <w:multiLevelType w:val="multilevel"/>
    <w:tmpl w:val="866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508F"/>
    <w:multiLevelType w:val="multilevel"/>
    <w:tmpl w:val="955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60DCE"/>
    <w:multiLevelType w:val="hybridMultilevel"/>
    <w:tmpl w:val="B7F0E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14"/>
    <w:multiLevelType w:val="multilevel"/>
    <w:tmpl w:val="752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3466B"/>
    <w:multiLevelType w:val="hybridMultilevel"/>
    <w:tmpl w:val="807C96BA"/>
    <w:lvl w:ilvl="0" w:tplc="4B9C2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4D13"/>
    <w:multiLevelType w:val="hybridMultilevel"/>
    <w:tmpl w:val="32344E72"/>
    <w:lvl w:ilvl="0" w:tplc="AD42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314C"/>
    <w:multiLevelType w:val="multilevel"/>
    <w:tmpl w:val="F2B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415C2"/>
    <w:multiLevelType w:val="hybridMultilevel"/>
    <w:tmpl w:val="383CC19A"/>
    <w:lvl w:ilvl="0" w:tplc="21C276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742818"/>
    <w:multiLevelType w:val="hybridMultilevel"/>
    <w:tmpl w:val="4D169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D4387"/>
    <w:multiLevelType w:val="hybridMultilevel"/>
    <w:tmpl w:val="F52AC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3A34"/>
    <w:multiLevelType w:val="multilevel"/>
    <w:tmpl w:val="3C6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70157"/>
    <w:multiLevelType w:val="hybridMultilevel"/>
    <w:tmpl w:val="8006F4E6"/>
    <w:lvl w:ilvl="0" w:tplc="7146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4DA5"/>
    <w:multiLevelType w:val="hybridMultilevel"/>
    <w:tmpl w:val="C1905B62"/>
    <w:lvl w:ilvl="0" w:tplc="03F89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707"/>
    <w:multiLevelType w:val="hybridMultilevel"/>
    <w:tmpl w:val="C16E4E72"/>
    <w:lvl w:ilvl="0" w:tplc="5926A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6B4C"/>
    <w:multiLevelType w:val="multilevel"/>
    <w:tmpl w:val="336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D12C5"/>
    <w:multiLevelType w:val="hybridMultilevel"/>
    <w:tmpl w:val="3536CF3A"/>
    <w:lvl w:ilvl="0" w:tplc="06F0856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9852DF"/>
    <w:multiLevelType w:val="hybridMultilevel"/>
    <w:tmpl w:val="B6823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F4FDF"/>
    <w:multiLevelType w:val="hybridMultilevel"/>
    <w:tmpl w:val="B4B04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4"/>
    <w:rsid w:val="00000B29"/>
    <w:rsid w:val="00015996"/>
    <w:rsid w:val="000224DC"/>
    <w:rsid w:val="00022A3D"/>
    <w:rsid w:val="000452C4"/>
    <w:rsid w:val="00046051"/>
    <w:rsid w:val="00046AAC"/>
    <w:rsid w:val="00052FB1"/>
    <w:rsid w:val="00060A26"/>
    <w:rsid w:val="00075974"/>
    <w:rsid w:val="0008205E"/>
    <w:rsid w:val="000839AB"/>
    <w:rsid w:val="00083E29"/>
    <w:rsid w:val="0009091B"/>
    <w:rsid w:val="00090C1F"/>
    <w:rsid w:val="00090C7B"/>
    <w:rsid w:val="000957B7"/>
    <w:rsid w:val="000A06AD"/>
    <w:rsid w:val="000B0820"/>
    <w:rsid w:val="000B1C77"/>
    <w:rsid w:val="000B52A6"/>
    <w:rsid w:val="000C0C91"/>
    <w:rsid w:val="000D3345"/>
    <w:rsid w:val="000D3580"/>
    <w:rsid w:val="000D588D"/>
    <w:rsid w:val="000F0E0E"/>
    <w:rsid w:val="000F38AB"/>
    <w:rsid w:val="001241E1"/>
    <w:rsid w:val="0012464E"/>
    <w:rsid w:val="00126551"/>
    <w:rsid w:val="00133501"/>
    <w:rsid w:val="0014126C"/>
    <w:rsid w:val="00147E9E"/>
    <w:rsid w:val="0015060C"/>
    <w:rsid w:val="00151E7E"/>
    <w:rsid w:val="001645C8"/>
    <w:rsid w:val="00167C0D"/>
    <w:rsid w:val="001A21B2"/>
    <w:rsid w:val="001A329F"/>
    <w:rsid w:val="001B433F"/>
    <w:rsid w:val="001C3869"/>
    <w:rsid w:val="001C4255"/>
    <w:rsid w:val="001C690E"/>
    <w:rsid w:val="001D65EF"/>
    <w:rsid w:val="001E2C45"/>
    <w:rsid w:val="001E3100"/>
    <w:rsid w:val="00220712"/>
    <w:rsid w:val="002304A5"/>
    <w:rsid w:val="00233B97"/>
    <w:rsid w:val="00234FA6"/>
    <w:rsid w:val="00240BA5"/>
    <w:rsid w:val="00244207"/>
    <w:rsid w:val="00252C13"/>
    <w:rsid w:val="0025520D"/>
    <w:rsid w:val="0025668F"/>
    <w:rsid w:val="00270209"/>
    <w:rsid w:val="002728D6"/>
    <w:rsid w:val="00276C84"/>
    <w:rsid w:val="00292EB6"/>
    <w:rsid w:val="002971D8"/>
    <w:rsid w:val="002A799F"/>
    <w:rsid w:val="002B24E1"/>
    <w:rsid w:val="002C0E15"/>
    <w:rsid w:val="002C4A4E"/>
    <w:rsid w:val="002C5AF3"/>
    <w:rsid w:val="002E2504"/>
    <w:rsid w:val="002E7021"/>
    <w:rsid w:val="002F1E95"/>
    <w:rsid w:val="00304215"/>
    <w:rsid w:val="00304FBF"/>
    <w:rsid w:val="0030712D"/>
    <w:rsid w:val="003102CB"/>
    <w:rsid w:val="003118EF"/>
    <w:rsid w:val="00311A9C"/>
    <w:rsid w:val="0031257C"/>
    <w:rsid w:val="00313B5D"/>
    <w:rsid w:val="00314C12"/>
    <w:rsid w:val="00316BA4"/>
    <w:rsid w:val="00323FF9"/>
    <w:rsid w:val="00325009"/>
    <w:rsid w:val="00326954"/>
    <w:rsid w:val="00330C23"/>
    <w:rsid w:val="00344F91"/>
    <w:rsid w:val="003538F9"/>
    <w:rsid w:val="00357047"/>
    <w:rsid w:val="0035771F"/>
    <w:rsid w:val="00381877"/>
    <w:rsid w:val="003867A0"/>
    <w:rsid w:val="003920CD"/>
    <w:rsid w:val="00392F88"/>
    <w:rsid w:val="003956B0"/>
    <w:rsid w:val="00395E5F"/>
    <w:rsid w:val="003A4D7C"/>
    <w:rsid w:val="003D2B25"/>
    <w:rsid w:val="003D3806"/>
    <w:rsid w:val="003D4006"/>
    <w:rsid w:val="003D4A75"/>
    <w:rsid w:val="003E1E0C"/>
    <w:rsid w:val="003E315E"/>
    <w:rsid w:val="003F7FB0"/>
    <w:rsid w:val="0040749D"/>
    <w:rsid w:val="00437969"/>
    <w:rsid w:val="00437E1F"/>
    <w:rsid w:val="0044351D"/>
    <w:rsid w:val="004435FD"/>
    <w:rsid w:val="00453EAC"/>
    <w:rsid w:val="00461613"/>
    <w:rsid w:val="0046323F"/>
    <w:rsid w:val="0047208F"/>
    <w:rsid w:val="00472394"/>
    <w:rsid w:val="00473F69"/>
    <w:rsid w:val="004A0204"/>
    <w:rsid w:val="004A5877"/>
    <w:rsid w:val="004C428E"/>
    <w:rsid w:val="004D1935"/>
    <w:rsid w:val="004D3A2A"/>
    <w:rsid w:val="004E275D"/>
    <w:rsid w:val="004E2FF4"/>
    <w:rsid w:val="004E4129"/>
    <w:rsid w:val="004E4238"/>
    <w:rsid w:val="004F0E20"/>
    <w:rsid w:val="004F4859"/>
    <w:rsid w:val="00506C5A"/>
    <w:rsid w:val="00522893"/>
    <w:rsid w:val="00525686"/>
    <w:rsid w:val="005350DB"/>
    <w:rsid w:val="005438E3"/>
    <w:rsid w:val="00552D88"/>
    <w:rsid w:val="005576C2"/>
    <w:rsid w:val="00563C62"/>
    <w:rsid w:val="00564871"/>
    <w:rsid w:val="005650CB"/>
    <w:rsid w:val="005673A3"/>
    <w:rsid w:val="0057063B"/>
    <w:rsid w:val="00580EDB"/>
    <w:rsid w:val="00581371"/>
    <w:rsid w:val="00582FA9"/>
    <w:rsid w:val="0059457A"/>
    <w:rsid w:val="00594FFE"/>
    <w:rsid w:val="0059517B"/>
    <w:rsid w:val="005A58F8"/>
    <w:rsid w:val="005D5D39"/>
    <w:rsid w:val="005E7BC7"/>
    <w:rsid w:val="005F6DF3"/>
    <w:rsid w:val="00603D81"/>
    <w:rsid w:val="00606BA2"/>
    <w:rsid w:val="0062211B"/>
    <w:rsid w:val="00623706"/>
    <w:rsid w:val="006258A2"/>
    <w:rsid w:val="006316A1"/>
    <w:rsid w:val="00632F15"/>
    <w:rsid w:val="006376A5"/>
    <w:rsid w:val="006449D6"/>
    <w:rsid w:val="006454C0"/>
    <w:rsid w:val="00646891"/>
    <w:rsid w:val="00656E98"/>
    <w:rsid w:val="00665B82"/>
    <w:rsid w:val="006708A4"/>
    <w:rsid w:val="006727D2"/>
    <w:rsid w:val="00676913"/>
    <w:rsid w:val="00697351"/>
    <w:rsid w:val="006A5DC3"/>
    <w:rsid w:val="006B0BFF"/>
    <w:rsid w:val="006B38D3"/>
    <w:rsid w:val="006B6B05"/>
    <w:rsid w:val="006B6E1D"/>
    <w:rsid w:val="006C1BDE"/>
    <w:rsid w:val="006C1DE8"/>
    <w:rsid w:val="006D650E"/>
    <w:rsid w:val="006E2026"/>
    <w:rsid w:val="006E39CA"/>
    <w:rsid w:val="006F3369"/>
    <w:rsid w:val="007238F7"/>
    <w:rsid w:val="00733E84"/>
    <w:rsid w:val="00736594"/>
    <w:rsid w:val="00752748"/>
    <w:rsid w:val="007569E3"/>
    <w:rsid w:val="0075779B"/>
    <w:rsid w:val="00767A1F"/>
    <w:rsid w:val="007714BB"/>
    <w:rsid w:val="00772CFF"/>
    <w:rsid w:val="00790D21"/>
    <w:rsid w:val="007A0540"/>
    <w:rsid w:val="007A14B0"/>
    <w:rsid w:val="007A50B7"/>
    <w:rsid w:val="007B17C7"/>
    <w:rsid w:val="007C3F20"/>
    <w:rsid w:val="007C4C2F"/>
    <w:rsid w:val="007C7665"/>
    <w:rsid w:val="007D0D01"/>
    <w:rsid w:val="007D1627"/>
    <w:rsid w:val="007D5F3D"/>
    <w:rsid w:val="007D61F3"/>
    <w:rsid w:val="007F0C66"/>
    <w:rsid w:val="007F0FE1"/>
    <w:rsid w:val="008052BB"/>
    <w:rsid w:val="00805C91"/>
    <w:rsid w:val="00805DF3"/>
    <w:rsid w:val="00810857"/>
    <w:rsid w:val="008168CE"/>
    <w:rsid w:val="008217FE"/>
    <w:rsid w:val="008224D9"/>
    <w:rsid w:val="0082340A"/>
    <w:rsid w:val="008404E0"/>
    <w:rsid w:val="008416CB"/>
    <w:rsid w:val="00851588"/>
    <w:rsid w:val="00860576"/>
    <w:rsid w:val="008632DB"/>
    <w:rsid w:val="00864A5B"/>
    <w:rsid w:val="00871CE9"/>
    <w:rsid w:val="008734AE"/>
    <w:rsid w:val="00880B41"/>
    <w:rsid w:val="00891D03"/>
    <w:rsid w:val="00894A6A"/>
    <w:rsid w:val="008A4B95"/>
    <w:rsid w:val="008B008C"/>
    <w:rsid w:val="008B725E"/>
    <w:rsid w:val="008D183F"/>
    <w:rsid w:val="008D3ABA"/>
    <w:rsid w:val="008E34C5"/>
    <w:rsid w:val="008E451D"/>
    <w:rsid w:val="008E5B6D"/>
    <w:rsid w:val="008F03A3"/>
    <w:rsid w:val="009035D0"/>
    <w:rsid w:val="009054D7"/>
    <w:rsid w:val="00906FBA"/>
    <w:rsid w:val="00913037"/>
    <w:rsid w:val="00914454"/>
    <w:rsid w:val="009166FE"/>
    <w:rsid w:val="00923208"/>
    <w:rsid w:val="0092323A"/>
    <w:rsid w:val="0093249B"/>
    <w:rsid w:val="00934094"/>
    <w:rsid w:val="00935357"/>
    <w:rsid w:val="00947FEB"/>
    <w:rsid w:val="00950D9A"/>
    <w:rsid w:val="009612DB"/>
    <w:rsid w:val="00964AB5"/>
    <w:rsid w:val="00975885"/>
    <w:rsid w:val="009857FC"/>
    <w:rsid w:val="00985FCE"/>
    <w:rsid w:val="00987D0D"/>
    <w:rsid w:val="00993BB1"/>
    <w:rsid w:val="00997583"/>
    <w:rsid w:val="009A45A2"/>
    <w:rsid w:val="009A5B5E"/>
    <w:rsid w:val="009A6E94"/>
    <w:rsid w:val="009A7191"/>
    <w:rsid w:val="009B0475"/>
    <w:rsid w:val="009B43E9"/>
    <w:rsid w:val="009C3DE3"/>
    <w:rsid w:val="009E1AE9"/>
    <w:rsid w:val="009E265F"/>
    <w:rsid w:val="009F2954"/>
    <w:rsid w:val="00A04917"/>
    <w:rsid w:val="00A10D43"/>
    <w:rsid w:val="00A118C3"/>
    <w:rsid w:val="00A12A22"/>
    <w:rsid w:val="00A14769"/>
    <w:rsid w:val="00A15A15"/>
    <w:rsid w:val="00A20198"/>
    <w:rsid w:val="00A218B9"/>
    <w:rsid w:val="00A30470"/>
    <w:rsid w:val="00A3075B"/>
    <w:rsid w:val="00A32701"/>
    <w:rsid w:val="00A36ED6"/>
    <w:rsid w:val="00A42B5E"/>
    <w:rsid w:val="00A4777E"/>
    <w:rsid w:val="00A5110E"/>
    <w:rsid w:val="00A61447"/>
    <w:rsid w:val="00A6337B"/>
    <w:rsid w:val="00A67D61"/>
    <w:rsid w:val="00A67D62"/>
    <w:rsid w:val="00A72972"/>
    <w:rsid w:val="00A75902"/>
    <w:rsid w:val="00A813CD"/>
    <w:rsid w:val="00A84D56"/>
    <w:rsid w:val="00A85585"/>
    <w:rsid w:val="00A90BA3"/>
    <w:rsid w:val="00AA1D63"/>
    <w:rsid w:val="00AA3273"/>
    <w:rsid w:val="00AA6F95"/>
    <w:rsid w:val="00AB3591"/>
    <w:rsid w:val="00AC2A75"/>
    <w:rsid w:val="00AC495D"/>
    <w:rsid w:val="00AC5B3B"/>
    <w:rsid w:val="00AC79F2"/>
    <w:rsid w:val="00AD1154"/>
    <w:rsid w:val="00AD6896"/>
    <w:rsid w:val="00AD7B90"/>
    <w:rsid w:val="00AE7B1E"/>
    <w:rsid w:val="00AF7BA3"/>
    <w:rsid w:val="00B07637"/>
    <w:rsid w:val="00B172BD"/>
    <w:rsid w:val="00B20735"/>
    <w:rsid w:val="00B30C0A"/>
    <w:rsid w:val="00B31411"/>
    <w:rsid w:val="00B41631"/>
    <w:rsid w:val="00B42E64"/>
    <w:rsid w:val="00B51CD0"/>
    <w:rsid w:val="00B53469"/>
    <w:rsid w:val="00B63980"/>
    <w:rsid w:val="00B729A6"/>
    <w:rsid w:val="00B7705E"/>
    <w:rsid w:val="00B91DFF"/>
    <w:rsid w:val="00B92E41"/>
    <w:rsid w:val="00BB229B"/>
    <w:rsid w:val="00BB530E"/>
    <w:rsid w:val="00BB624F"/>
    <w:rsid w:val="00BC296D"/>
    <w:rsid w:val="00BD7A88"/>
    <w:rsid w:val="00BF33E5"/>
    <w:rsid w:val="00C00E1B"/>
    <w:rsid w:val="00C14C81"/>
    <w:rsid w:val="00C2744F"/>
    <w:rsid w:val="00C27808"/>
    <w:rsid w:val="00C36086"/>
    <w:rsid w:val="00C47123"/>
    <w:rsid w:val="00C534A3"/>
    <w:rsid w:val="00C603E8"/>
    <w:rsid w:val="00C62B7D"/>
    <w:rsid w:val="00C65C3A"/>
    <w:rsid w:val="00C744F2"/>
    <w:rsid w:val="00C76411"/>
    <w:rsid w:val="00C7688C"/>
    <w:rsid w:val="00C76B1E"/>
    <w:rsid w:val="00C86177"/>
    <w:rsid w:val="00C86469"/>
    <w:rsid w:val="00C9398B"/>
    <w:rsid w:val="00C95EFC"/>
    <w:rsid w:val="00C97AAA"/>
    <w:rsid w:val="00C97D57"/>
    <w:rsid w:val="00CA23C7"/>
    <w:rsid w:val="00CA644D"/>
    <w:rsid w:val="00CA70AD"/>
    <w:rsid w:val="00CB1968"/>
    <w:rsid w:val="00CB2B20"/>
    <w:rsid w:val="00CB53E7"/>
    <w:rsid w:val="00CC02EC"/>
    <w:rsid w:val="00CC17BA"/>
    <w:rsid w:val="00CD42D2"/>
    <w:rsid w:val="00CD43A8"/>
    <w:rsid w:val="00CD4750"/>
    <w:rsid w:val="00CE0A62"/>
    <w:rsid w:val="00CE58A9"/>
    <w:rsid w:val="00D025A1"/>
    <w:rsid w:val="00D20CA0"/>
    <w:rsid w:val="00D2158E"/>
    <w:rsid w:val="00D23FA9"/>
    <w:rsid w:val="00D300EC"/>
    <w:rsid w:val="00D42816"/>
    <w:rsid w:val="00D53868"/>
    <w:rsid w:val="00D54483"/>
    <w:rsid w:val="00D56061"/>
    <w:rsid w:val="00D6162F"/>
    <w:rsid w:val="00D61D3E"/>
    <w:rsid w:val="00D7111D"/>
    <w:rsid w:val="00D72349"/>
    <w:rsid w:val="00D74699"/>
    <w:rsid w:val="00D838EC"/>
    <w:rsid w:val="00D85D79"/>
    <w:rsid w:val="00D87515"/>
    <w:rsid w:val="00D9634C"/>
    <w:rsid w:val="00DB2535"/>
    <w:rsid w:val="00DB58D4"/>
    <w:rsid w:val="00DB72E2"/>
    <w:rsid w:val="00DC5F18"/>
    <w:rsid w:val="00DD114A"/>
    <w:rsid w:val="00DD3B91"/>
    <w:rsid w:val="00DD406E"/>
    <w:rsid w:val="00DD7CC9"/>
    <w:rsid w:val="00DE4F38"/>
    <w:rsid w:val="00DE5AC1"/>
    <w:rsid w:val="00DE70CC"/>
    <w:rsid w:val="00DF279C"/>
    <w:rsid w:val="00DF3393"/>
    <w:rsid w:val="00DF47BE"/>
    <w:rsid w:val="00E04C49"/>
    <w:rsid w:val="00E06B95"/>
    <w:rsid w:val="00E17B08"/>
    <w:rsid w:val="00E22170"/>
    <w:rsid w:val="00E2276E"/>
    <w:rsid w:val="00E32B66"/>
    <w:rsid w:val="00E33229"/>
    <w:rsid w:val="00E360B8"/>
    <w:rsid w:val="00E43E03"/>
    <w:rsid w:val="00E51446"/>
    <w:rsid w:val="00E52356"/>
    <w:rsid w:val="00E5242C"/>
    <w:rsid w:val="00E551B1"/>
    <w:rsid w:val="00E55596"/>
    <w:rsid w:val="00E611E2"/>
    <w:rsid w:val="00E667C9"/>
    <w:rsid w:val="00E82798"/>
    <w:rsid w:val="00E862EB"/>
    <w:rsid w:val="00EA60D1"/>
    <w:rsid w:val="00EB4BBB"/>
    <w:rsid w:val="00EC6C65"/>
    <w:rsid w:val="00ED01C5"/>
    <w:rsid w:val="00ED7991"/>
    <w:rsid w:val="00EE7489"/>
    <w:rsid w:val="00EF6527"/>
    <w:rsid w:val="00EF74F3"/>
    <w:rsid w:val="00EF7CAA"/>
    <w:rsid w:val="00F00C83"/>
    <w:rsid w:val="00F07370"/>
    <w:rsid w:val="00F12467"/>
    <w:rsid w:val="00F13021"/>
    <w:rsid w:val="00F17F81"/>
    <w:rsid w:val="00F271AF"/>
    <w:rsid w:val="00F42896"/>
    <w:rsid w:val="00F51F40"/>
    <w:rsid w:val="00F64C42"/>
    <w:rsid w:val="00F66E82"/>
    <w:rsid w:val="00F81B57"/>
    <w:rsid w:val="00F850AA"/>
    <w:rsid w:val="00F85A7A"/>
    <w:rsid w:val="00F86234"/>
    <w:rsid w:val="00F865A6"/>
    <w:rsid w:val="00F86EF7"/>
    <w:rsid w:val="00F91B7A"/>
    <w:rsid w:val="00FA72BD"/>
    <w:rsid w:val="00FB2BC5"/>
    <w:rsid w:val="00FB347F"/>
    <w:rsid w:val="00FC1E62"/>
    <w:rsid w:val="00FC756D"/>
    <w:rsid w:val="00FD7FA4"/>
    <w:rsid w:val="00FE1425"/>
    <w:rsid w:val="00FE43C8"/>
    <w:rsid w:val="00FF41EA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A32"/>
  <w15:docId w15:val="{0C4A56D4-8966-4602-AB1E-A9B4510C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0E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4D56"/>
    <w:rPr>
      <w:b/>
      <w:bCs/>
    </w:rPr>
  </w:style>
  <w:style w:type="paragraph" w:styleId="a9">
    <w:name w:val="header"/>
    <w:basedOn w:val="a"/>
    <w:link w:val="aa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7111D"/>
  </w:style>
  <w:style w:type="paragraph" w:styleId="ab">
    <w:name w:val="footer"/>
    <w:basedOn w:val="a"/>
    <w:link w:val="ac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7111D"/>
  </w:style>
  <w:style w:type="paragraph" w:styleId="ad">
    <w:name w:val="No Spacing"/>
    <w:uiPriority w:val="1"/>
    <w:qFormat/>
    <w:rsid w:val="0032695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4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nc@teko.sumy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A004-43E3-40B7-B5BA-345F03FC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UserPEV</cp:lastModifiedBy>
  <cp:revision>23</cp:revision>
  <cp:lastPrinted>2019-12-04T14:54:00Z</cp:lastPrinted>
  <dcterms:created xsi:type="dcterms:W3CDTF">2023-12-07T14:35:00Z</dcterms:created>
  <dcterms:modified xsi:type="dcterms:W3CDTF">2023-12-21T11:40:00Z</dcterms:modified>
</cp:coreProperties>
</file>