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91" w:rsidRPr="00160936" w:rsidRDefault="00390D91" w:rsidP="00C91A31">
      <w:pPr>
        <w:shd w:val="clear" w:color="auto" w:fill="FFFFFF"/>
        <w:spacing w:line="326" w:lineRule="exact"/>
        <w:ind w:firstLine="720"/>
        <w:jc w:val="right"/>
        <w:rPr>
          <w:b/>
          <w:sz w:val="28"/>
          <w:szCs w:val="28"/>
          <w:lang w:val="uk-UA"/>
        </w:rPr>
      </w:pPr>
    </w:p>
    <w:p w:rsidR="00390D91" w:rsidRDefault="00390D91" w:rsidP="00C91A31">
      <w:pPr>
        <w:shd w:val="clear" w:color="auto" w:fill="FFFFFF"/>
        <w:spacing w:line="326" w:lineRule="exact"/>
        <w:ind w:firstLine="720"/>
        <w:jc w:val="center"/>
        <w:rPr>
          <w:b/>
          <w:sz w:val="32"/>
          <w:szCs w:val="28"/>
          <w:lang w:val="uk-UA"/>
        </w:rPr>
      </w:pPr>
      <w:r w:rsidRPr="004520F1">
        <w:rPr>
          <w:b/>
          <w:sz w:val="32"/>
          <w:szCs w:val="28"/>
          <w:lang w:val="uk-UA"/>
        </w:rPr>
        <w:t xml:space="preserve">Обґрунтування </w:t>
      </w:r>
    </w:p>
    <w:p w:rsidR="00390D91" w:rsidRPr="004520F1" w:rsidRDefault="00390D91" w:rsidP="00717203">
      <w:pPr>
        <w:shd w:val="clear" w:color="auto" w:fill="FFFFFF"/>
        <w:spacing w:line="326" w:lineRule="exact"/>
        <w:ind w:firstLine="720"/>
        <w:jc w:val="center"/>
        <w:rPr>
          <w:b/>
          <w:sz w:val="32"/>
          <w:szCs w:val="28"/>
          <w:lang w:val="uk-UA"/>
        </w:rPr>
      </w:pPr>
      <w:r>
        <w:rPr>
          <w:b/>
          <w:sz w:val="32"/>
          <w:szCs w:val="28"/>
          <w:lang w:val="uk-UA"/>
        </w:rPr>
        <w:t xml:space="preserve">необхідності корегування заходів </w:t>
      </w:r>
      <w:r w:rsidRPr="004520F1">
        <w:rPr>
          <w:b/>
          <w:sz w:val="32"/>
          <w:szCs w:val="28"/>
          <w:lang w:val="uk-UA"/>
        </w:rPr>
        <w:t>ремонтн</w:t>
      </w:r>
      <w:r>
        <w:rPr>
          <w:b/>
          <w:sz w:val="32"/>
          <w:szCs w:val="28"/>
          <w:lang w:val="uk-UA"/>
        </w:rPr>
        <w:t>ої програми</w:t>
      </w:r>
      <w:r w:rsidRPr="004520F1">
        <w:rPr>
          <w:b/>
          <w:sz w:val="32"/>
          <w:szCs w:val="28"/>
          <w:lang w:val="uk-UA"/>
        </w:rPr>
        <w:t xml:space="preserve"> </w:t>
      </w:r>
      <w:r>
        <w:rPr>
          <w:b/>
          <w:sz w:val="32"/>
          <w:szCs w:val="28"/>
          <w:lang w:val="uk-UA"/>
        </w:rPr>
        <w:t>у тарифах з відпуску електричної та виробництва теплової енергії на 2019 рік для ТОВ «СУМИТЕПЛОЕНЕРГО» та джерел їх</w:t>
      </w:r>
      <w:r w:rsidRPr="004520F1">
        <w:rPr>
          <w:b/>
          <w:sz w:val="32"/>
          <w:szCs w:val="28"/>
          <w:lang w:val="uk-UA"/>
        </w:rPr>
        <w:t xml:space="preserve"> фінансування</w:t>
      </w:r>
      <w:r>
        <w:rPr>
          <w:b/>
          <w:sz w:val="32"/>
          <w:szCs w:val="28"/>
          <w:lang w:val="uk-UA"/>
        </w:rPr>
        <w:t>.</w:t>
      </w:r>
    </w:p>
    <w:p w:rsidR="00390D91" w:rsidRPr="004520F1" w:rsidRDefault="00390D91" w:rsidP="00C91A31">
      <w:pPr>
        <w:shd w:val="clear" w:color="auto" w:fill="FFFFFF"/>
        <w:spacing w:line="326" w:lineRule="exact"/>
        <w:ind w:firstLine="720"/>
        <w:jc w:val="center"/>
        <w:rPr>
          <w:b/>
          <w:sz w:val="28"/>
          <w:szCs w:val="28"/>
          <w:lang w:val="uk-UA"/>
        </w:rPr>
      </w:pPr>
    </w:p>
    <w:p w:rsidR="00390D91" w:rsidRPr="00BB14EC" w:rsidRDefault="00390D91" w:rsidP="00C91A31">
      <w:pPr>
        <w:shd w:val="clear" w:color="auto" w:fill="FFFFFF"/>
        <w:spacing w:line="326" w:lineRule="exact"/>
        <w:ind w:firstLine="720"/>
        <w:rPr>
          <w:b/>
          <w:sz w:val="28"/>
          <w:szCs w:val="28"/>
          <w:lang w:val="uk-UA"/>
        </w:rPr>
      </w:pPr>
    </w:p>
    <w:p w:rsidR="00390D91" w:rsidRPr="00BB14EC" w:rsidRDefault="00390D91" w:rsidP="00717203">
      <w:pPr>
        <w:ind w:firstLine="426"/>
        <w:jc w:val="both"/>
        <w:rPr>
          <w:sz w:val="28"/>
          <w:szCs w:val="28"/>
          <w:lang w:val="uk-UA"/>
        </w:rPr>
      </w:pPr>
      <w:r w:rsidRPr="00BB14EC">
        <w:rPr>
          <w:spacing w:val="-2"/>
          <w:sz w:val="28"/>
          <w:szCs w:val="28"/>
          <w:lang w:val="uk-UA"/>
        </w:rPr>
        <w:t>Постановами НКРЕКП № 1692 від 10.12.2018р. та №591 від 22.04.2019р. було встановлено тарифи на відпуск електричної енергії та виробництво теплової  енергії ТОВ «СУМИТЕПЛОЕНЕРГО» на 2019р., яким</w:t>
      </w:r>
      <w:r>
        <w:rPr>
          <w:spacing w:val="-2"/>
          <w:sz w:val="28"/>
          <w:szCs w:val="28"/>
          <w:lang w:val="uk-UA"/>
        </w:rPr>
        <w:t>и</w:t>
      </w:r>
      <w:r w:rsidRPr="00BB14EC">
        <w:rPr>
          <w:spacing w:val="-2"/>
          <w:sz w:val="28"/>
          <w:szCs w:val="28"/>
          <w:lang w:val="uk-UA"/>
        </w:rPr>
        <w:t xml:space="preserve"> передбачено кошти на виконання  ремонтної програми в розмірі </w:t>
      </w:r>
      <w:r w:rsidRPr="00BB14EC">
        <w:rPr>
          <w:b/>
          <w:spacing w:val="-2"/>
          <w:sz w:val="28"/>
          <w:szCs w:val="28"/>
          <w:lang w:val="uk-UA"/>
        </w:rPr>
        <w:t>19 610,3</w:t>
      </w:r>
      <w:r w:rsidRPr="00BB14EC">
        <w:rPr>
          <w:spacing w:val="-2"/>
          <w:sz w:val="28"/>
          <w:szCs w:val="28"/>
          <w:lang w:val="uk-UA"/>
        </w:rPr>
        <w:t xml:space="preserve"> тис. грн. без ПДВ, в тому числі «I.Витрати на ремонтні роботи» у розмірі </w:t>
      </w:r>
      <w:r w:rsidRPr="00BB14EC">
        <w:rPr>
          <w:b/>
          <w:bCs/>
          <w:sz w:val="28"/>
          <w:szCs w:val="28"/>
          <w:lang w:val="uk-UA"/>
        </w:rPr>
        <w:t>6</w:t>
      </w:r>
      <w:r>
        <w:rPr>
          <w:b/>
          <w:bCs/>
          <w:sz w:val="28"/>
          <w:szCs w:val="28"/>
          <w:lang w:val="uk-UA"/>
        </w:rPr>
        <w:t xml:space="preserve"> </w:t>
      </w:r>
      <w:r w:rsidRPr="00BB14EC">
        <w:rPr>
          <w:b/>
          <w:bCs/>
          <w:sz w:val="28"/>
          <w:szCs w:val="28"/>
          <w:lang w:val="uk-UA"/>
        </w:rPr>
        <w:t>932,8</w:t>
      </w:r>
      <w:r w:rsidRPr="00BB14EC">
        <w:rPr>
          <w:spacing w:val="-2"/>
          <w:sz w:val="28"/>
          <w:szCs w:val="28"/>
          <w:lang w:val="uk-UA"/>
        </w:rPr>
        <w:t xml:space="preserve"> тис грн без ПДВ, «II.</w:t>
      </w:r>
      <w:r w:rsidRPr="00BB14EC">
        <w:rPr>
          <w:sz w:val="28"/>
          <w:szCs w:val="28"/>
          <w:lang w:val="uk-UA"/>
        </w:rPr>
        <w:t xml:space="preserve">Амортизаційні відрахування, які не є джерелом фінансування інвестиційної програми» у розмірі </w:t>
      </w:r>
      <w:r w:rsidRPr="00BB14EC">
        <w:rPr>
          <w:b/>
          <w:bCs/>
          <w:sz w:val="28"/>
          <w:szCs w:val="28"/>
          <w:lang w:val="uk-UA"/>
        </w:rPr>
        <w:t>12</w:t>
      </w:r>
      <w:r>
        <w:rPr>
          <w:b/>
          <w:bCs/>
          <w:sz w:val="28"/>
          <w:szCs w:val="28"/>
          <w:lang w:val="uk-UA"/>
        </w:rPr>
        <w:t xml:space="preserve"> </w:t>
      </w:r>
      <w:r w:rsidRPr="00BB14EC">
        <w:rPr>
          <w:b/>
          <w:bCs/>
          <w:sz w:val="28"/>
          <w:szCs w:val="28"/>
          <w:lang w:val="uk-UA"/>
        </w:rPr>
        <w:t>677,5</w:t>
      </w:r>
      <w:r w:rsidRPr="00BB14EC">
        <w:rPr>
          <w:sz w:val="28"/>
          <w:szCs w:val="28"/>
          <w:lang w:val="uk-UA"/>
        </w:rPr>
        <w:t xml:space="preserve"> тис грн без ПДВ.</w:t>
      </w:r>
    </w:p>
    <w:p w:rsidR="00390D91" w:rsidRDefault="00390D91" w:rsidP="00717203">
      <w:pPr>
        <w:ind w:firstLine="426"/>
        <w:jc w:val="both"/>
        <w:rPr>
          <w:sz w:val="28"/>
          <w:szCs w:val="28"/>
          <w:lang w:val="uk-UA"/>
        </w:rPr>
      </w:pPr>
      <w:r w:rsidRPr="00BB14EC">
        <w:rPr>
          <w:sz w:val="28"/>
          <w:szCs w:val="28"/>
          <w:lang w:val="uk-UA"/>
        </w:rPr>
        <w:t xml:space="preserve">Проте, при проведенні ремонтних робіт, з початку 2019 року, виник ряд додаткових робіт, які неможливо було передбачити раніше, а саме: ремонт ротора турбіни та ремонт ротора генератора ТГ-3, ремонт допоміжного обладнання КТЦ, </w:t>
      </w:r>
      <w:r>
        <w:rPr>
          <w:sz w:val="28"/>
          <w:szCs w:val="28"/>
          <w:lang w:val="uk-UA"/>
        </w:rPr>
        <w:t xml:space="preserve">виготовлення та монтаж </w:t>
      </w:r>
      <w:r w:rsidRPr="00BB14EC">
        <w:rPr>
          <w:sz w:val="28"/>
          <w:szCs w:val="28"/>
          <w:lang w:val="uk-UA"/>
        </w:rPr>
        <w:t>площадки о</w:t>
      </w:r>
      <w:r>
        <w:rPr>
          <w:sz w:val="28"/>
          <w:szCs w:val="28"/>
          <w:lang w:val="uk-UA"/>
        </w:rPr>
        <w:t>б</w:t>
      </w:r>
      <w:r w:rsidRPr="00BB14EC">
        <w:rPr>
          <w:sz w:val="28"/>
          <w:szCs w:val="28"/>
          <w:lang w:val="uk-UA"/>
        </w:rPr>
        <w:t>слуговування циклона та сепаратора ПК-1.</w:t>
      </w:r>
    </w:p>
    <w:p w:rsidR="00390D91" w:rsidRPr="00BB14EC" w:rsidRDefault="00390D91" w:rsidP="00BB14EC">
      <w:pPr>
        <w:ind w:firstLine="426"/>
        <w:jc w:val="both"/>
        <w:rPr>
          <w:sz w:val="28"/>
          <w:szCs w:val="28"/>
          <w:lang w:val="uk-UA"/>
        </w:rPr>
      </w:pPr>
      <w:r>
        <w:rPr>
          <w:sz w:val="28"/>
          <w:szCs w:val="28"/>
          <w:lang w:val="uk-UA"/>
        </w:rPr>
        <w:t xml:space="preserve">З метою належної підготовки обладнання до роботи в період осіннє-зимового максимуму навантажень 2019-2020 років </w:t>
      </w:r>
      <w:r w:rsidRPr="00066E2A">
        <w:rPr>
          <w:b/>
          <w:sz w:val="28"/>
          <w:szCs w:val="28"/>
          <w:lang w:val="uk-UA"/>
        </w:rPr>
        <w:t>ці роботи конче потрібно виконати</w:t>
      </w:r>
      <w:r>
        <w:rPr>
          <w:sz w:val="28"/>
          <w:szCs w:val="28"/>
          <w:lang w:val="uk-UA"/>
        </w:rPr>
        <w:t xml:space="preserve">. </w:t>
      </w:r>
    </w:p>
    <w:p w:rsidR="00390D91" w:rsidRDefault="00390D91" w:rsidP="004511DD">
      <w:pPr>
        <w:shd w:val="clear" w:color="auto" w:fill="FFFFFF"/>
        <w:spacing w:line="326" w:lineRule="exact"/>
        <w:ind w:firstLine="426"/>
        <w:jc w:val="both"/>
        <w:rPr>
          <w:sz w:val="28"/>
          <w:szCs w:val="28"/>
          <w:lang w:val="uk-UA"/>
        </w:rPr>
      </w:pPr>
      <w:r>
        <w:rPr>
          <w:sz w:val="28"/>
          <w:szCs w:val="28"/>
          <w:lang w:val="uk-UA"/>
        </w:rPr>
        <w:t>Враховуючи вказане, фінансування виконання додаткових робіт та закупівлю матеріалів для їх виконання пропонується здійснити за рахунок зменшен</w:t>
      </w:r>
      <w:bookmarkStart w:id="0" w:name="_GoBack"/>
      <w:bookmarkEnd w:id="0"/>
      <w:r>
        <w:rPr>
          <w:sz w:val="28"/>
          <w:szCs w:val="28"/>
          <w:lang w:val="uk-UA"/>
        </w:rPr>
        <w:t xml:space="preserve">ня витрат на виконання заходу «Ремонт парового котла № 2 з заміною поверхонь нагріву» (див. табл. №1) </w:t>
      </w:r>
    </w:p>
    <w:p w:rsidR="00390D91" w:rsidRPr="00F83610" w:rsidRDefault="00390D91" w:rsidP="004511DD">
      <w:pPr>
        <w:shd w:val="clear" w:color="auto" w:fill="FFFFFF"/>
        <w:spacing w:line="326" w:lineRule="exact"/>
        <w:ind w:firstLine="426"/>
        <w:jc w:val="both"/>
        <w:rPr>
          <w:b/>
          <w:i/>
          <w:sz w:val="16"/>
          <w:szCs w:val="16"/>
          <w:lang w:val="uk-UA"/>
        </w:rPr>
      </w:pPr>
      <w:r>
        <w:rPr>
          <w:sz w:val="28"/>
          <w:szCs w:val="28"/>
          <w:lang w:val="uk-UA"/>
        </w:rPr>
        <w:t xml:space="preserve">                                                                                                                            </w:t>
      </w:r>
      <w:r w:rsidRPr="00F83610">
        <w:rPr>
          <w:b/>
          <w:i/>
          <w:sz w:val="16"/>
          <w:szCs w:val="16"/>
          <w:lang w:val="uk-UA"/>
        </w:rPr>
        <w:t>Таблиця №1</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2166"/>
        <w:gridCol w:w="993"/>
        <w:gridCol w:w="1013"/>
        <w:gridCol w:w="829"/>
        <w:gridCol w:w="993"/>
        <w:gridCol w:w="1013"/>
        <w:gridCol w:w="829"/>
        <w:gridCol w:w="993"/>
        <w:gridCol w:w="1013"/>
        <w:gridCol w:w="829"/>
      </w:tblGrid>
      <w:tr w:rsidR="00390D91" w:rsidTr="00914558">
        <w:tc>
          <w:tcPr>
            <w:tcW w:w="528" w:type="dxa"/>
            <w:vMerge w:val="restart"/>
          </w:tcPr>
          <w:p w:rsidR="00390D91" w:rsidRPr="00914558" w:rsidRDefault="00390D91" w:rsidP="00914558">
            <w:pPr>
              <w:spacing w:line="326" w:lineRule="exact"/>
              <w:jc w:val="center"/>
              <w:rPr>
                <w:sz w:val="16"/>
                <w:szCs w:val="16"/>
                <w:lang w:val="uk-UA"/>
              </w:rPr>
            </w:pPr>
            <w:r w:rsidRPr="00914558">
              <w:rPr>
                <w:sz w:val="16"/>
                <w:szCs w:val="16"/>
                <w:lang w:val="uk-UA"/>
              </w:rPr>
              <w:t>№ з/п</w:t>
            </w:r>
          </w:p>
        </w:tc>
        <w:tc>
          <w:tcPr>
            <w:tcW w:w="2166" w:type="dxa"/>
            <w:vMerge w:val="restart"/>
          </w:tcPr>
          <w:p w:rsidR="00390D91" w:rsidRPr="00914558" w:rsidRDefault="00390D91" w:rsidP="00914558">
            <w:pPr>
              <w:spacing w:line="326" w:lineRule="exact"/>
              <w:jc w:val="center"/>
              <w:rPr>
                <w:sz w:val="16"/>
                <w:szCs w:val="16"/>
                <w:lang w:val="uk-UA"/>
              </w:rPr>
            </w:pPr>
            <w:r w:rsidRPr="00914558">
              <w:rPr>
                <w:sz w:val="16"/>
                <w:szCs w:val="16"/>
                <w:lang w:val="uk-UA"/>
              </w:rPr>
              <w:t>Назва заходу</w:t>
            </w:r>
          </w:p>
        </w:tc>
        <w:tc>
          <w:tcPr>
            <w:tcW w:w="2835" w:type="dxa"/>
            <w:gridSpan w:val="3"/>
          </w:tcPr>
          <w:p w:rsidR="00390D91" w:rsidRPr="00914558" w:rsidRDefault="00390D91" w:rsidP="00914558">
            <w:pPr>
              <w:spacing w:line="326" w:lineRule="exact"/>
              <w:jc w:val="center"/>
              <w:rPr>
                <w:sz w:val="16"/>
                <w:szCs w:val="16"/>
                <w:lang w:val="uk-UA"/>
              </w:rPr>
            </w:pPr>
            <w:r w:rsidRPr="00914558">
              <w:rPr>
                <w:sz w:val="16"/>
                <w:szCs w:val="16"/>
                <w:lang w:val="uk-UA"/>
              </w:rPr>
              <w:t xml:space="preserve">Схвалено Постановами НКРЕКП </w:t>
            </w:r>
          </w:p>
          <w:p w:rsidR="00390D91" w:rsidRPr="00914558" w:rsidRDefault="00390D91" w:rsidP="00914558">
            <w:pPr>
              <w:spacing w:line="326" w:lineRule="exact"/>
              <w:jc w:val="center"/>
              <w:rPr>
                <w:sz w:val="16"/>
                <w:szCs w:val="16"/>
                <w:lang w:val="uk-UA"/>
              </w:rPr>
            </w:pPr>
            <w:r w:rsidRPr="00914558">
              <w:rPr>
                <w:sz w:val="16"/>
                <w:szCs w:val="16"/>
                <w:lang w:val="uk-UA"/>
              </w:rPr>
              <w:t>№ 16</w:t>
            </w:r>
            <w:r w:rsidRPr="00914558">
              <w:rPr>
                <w:sz w:val="16"/>
                <w:szCs w:val="16"/>
              </w:rPr>
              <w:t>9</w:t>
            </w:r>
            <w:r w:rsidRPr="00914558">
              <w:rPr>
                <w:sz w:val="16"/>
                <w:szCs w:val="16"/>
                <w:lang w:val="uk-UA"/>
              </w:rPr>
              <w:t xml:space="preserve">2 від 10.12.2018р. та </w:t>
            </w:r>
          </w:p>
          <w:p w:rsidR="00390D91" w:rsidRPr="00914558" w:rsidRDefault="00390D91" w:rsidP="00914558">
            <w:pPr>
              <w:spacing w:line="326" w:lineRule="exact"/>
              <w:jc w:val="center"/>
              <w:rPr>
                <w:sz w:val="16"/>
                <w:szCs w:val="16"/>
                <w:lang w:val="uk-UA"/>
              </w:rPr>
            </w:pPr>
            <w:r w:rsidRPr="00914558">
              <w:rPr>
                <w:sz w:val="16"/>
                <w:szCs w:val="16"/>
                <w:lang w:val="uk-UA"/>
              </w:rPr>
              <w:t>№ 591 від 22.04.2019р.</w:t>
            </w:r>
          </w:p>
        </w:tc>
        <w:tc>
          <w:tcPr>
            <w:tcW w:w="2835" w:type="dxa"/>
            <w:gridSpan w:val="3"/>
          </w:tcPr>
          <w:p w:rsidR="00390D91" w:rsidRPr="00914558" w:rsidRDefault="00390D91" w:rsidP="00914558">
            <w:pPr>
              <w:spacing w:line="326" w:lineRule="exact"/>
              <w:jc w:val="center"/>
              <w:rPr>
                <w:sz w:val="16"/>
                <w:szCs w:val="16"/>
                <w:lang w:val="uk-UA"/>
              </w:rPr>
            </w:pPr>
            <w:r w:rsidRPr="00914558">
              <w:rPr>
                <w:sz w:val="16"/>
                <w:szCs w:val="16"/>
                <w:lang w:val="uk-UA"/>
              </w:rPr>
              <w:t>Пропозиції ліцензіата щодо внесення змін</w:t>
            </w:r>
          </w:p>
        </w:tc>
        <w:tc>
          <w:tcPr>
            <w:tcW w:w="2835" w:type="dxa"/>
            <w:gridSpan w:val="3"/>
          </w:tcPr>
          <w:p w:rsidR="00390D91" w:rsidRPr="00914558" w:rsidRDefault="00390D91" w:rsidP="00914558">
            <w:pPr>
              <w:spacing w:line="326" w:lineRule="exact"/>
              <w:jc w:val="center"/>
              <w:rPr>
                <w:sz w:val="16"/>
                <w:szCs w:val="16"/>
                <w:lang w:val="uk-UA"/>
              </w:rPr>
            </w:pPr>
            <w:r w:rsidRPr="00914558">
              <w:rPr>
                <w:sz w:val="16"/>
                <w:szCs w:val="16"/>
                <w:lang w:val="uk-UA"/>
              </w:rPr>
              <w:t>Відхилення</w:t>
            </w:r>
          </w:p>
        </w:tc>
      </w:tr>
      <w:tr w:rsidR="00390D91" w:rsidTr="00914558">
        <w:tc>
          <w:tcPr>
            <w:tcW w:w="528" w:type="dxa"/>
            <w:vMerge/>
          </w:tcPr>
          <w:p w:rsidR="00390D91" w:rsidRPr="00914558" w:rsidRDefault="00390D91" w:rsidP="00914558">
            <w:pPr>
              <w:spacing w:line="326" w:lineRule="exact"/>
              <w:jc w:val="center"/>
              <w:rPr>
                <w:sz w:val="16"/>
                <w:szCs w:val="16"/>
                <w:lang w:val="uk-UA"/>
              </w:rPr>
            </w:pPr>
          </w:p>
        </w:tc>
        <w:tc>
          <w:tcPr>
            <w:tcW w:w="2166" w:type="dxa"/>
            <w:vMerge/>
          </w:tcPr>
          <w:p w:rsidR="00390D91" w:rsidRPr="00914558" w:rsidRDefault="00390D91" w:rsidP="00914558">
            <w:pPr>
              <w:spacing w:line="326" w:lineRule="exact"/>
              <w:jc w:val="center"/>
              <w:rPr>
                <w:sz w:val="16"/>
                <w:szCs w:val="16"/>
                <w:lang w:val="uk-UA"/>
              </w:rPr>
            </w:pP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Послуги сторонніх організацій</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Вартість матеріалів придбаних ліцензіатом</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Всього</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Послуги сторонніх організацій</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Вартість матеріалів придбаних ліцензіатом</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Всього</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Послуги сторонніх організацій</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Вартість матеріалів придбаних ліцензіатом</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Всього</w:t>
            </w:r>
          </w:p>
        </w:tc>
      </w:tr>
      <w:tr w:rsidR="00390D91" w:rsidTr="00914558">
        <w:tc>
          <w:tcPr>
            <w:tcW w:w="11199" w:type="dxa"/>
            <w:gridSpan w:val="11"/>
          </w:tcPr>
          <w:p w:rsidR="00390D91" w:rsidRPr="00914558" w:rsidRDefault="00390D91" w:rsidP="00914558">
            <w:pPr>
              <w:spacing w:line="326" w:lineRule="exact"/>
              <w:jc w:val="both"/>
              <w:rPr>
                <w:b/>
                <w:sz w:val="16"/>
                <w:szCs w:val="16"/>
                <w:lang w:val="uk-UA"/>
              </w:rPr>
            </w:pPr>
            <w:r w:rsidRPr="00914558">
              <w:rPr>
                <w:b/>
                <w:sz w:val="16"/>
                <w:szCs w:val="16"/>
                <w:lang w:val="uk-UA"/>
              </w:rPr>
              <w:t>Амортизаційні відрахування, які не є джерелом фінансування</w:t>
            </w:r>
          </w:p>
        </w:tc>
      </w:tr>
      <w:tr w:rsidR="00390D91" w:rsidTr="00914558">
        <w:tc>
          <w:tcPr>
            <w:tcW w:w="528" w:type="dxa"/>
          </w:tcPr>
          <w:p w:rsidR="00390D91" w:rsidRPr="00914558" w:rsidRDefault="00390D91" w:rsidP="00914558">
            <w:pPr>
              <w:spacing w:line="326" w:lineRule="exact"/>
              <w:jc w:val="both"/>
              <w:rPr>
                <w:sz w:val="16"/>
                <w:szCs w:val="16"/>
                <w:lang w:val="uk-UA"/>
              </w:rPr>
            </w:pPr>
            <w:r w:rsidRPr="00914558">
              <w:rPr>
                <w:sz w:val="16"/>
                <w:szCs w:val="16"/>
                <w:lang w:val="uk-UA"/>
              </w:rPr>
              <w:t>1</w:t>
            </w:r>
          </w:p>
        </w:tc>
        <w:tc>
          <w:tcPr>
            <w:tcW w:w="2166" w:type="dxa"/>
          </w:tcPr>
          <w:p w:rsidR="00390D91" w:rsidRPr="00914558" w:rsidRDefault="00390D91" w:rsidP="00914558">
            <w:pPr>
              <w:spacing w:line="326" w:lineRule="exact"/>
              <w:jc w:val="both"/>
              <w:rPr>
                <w:sz w:val="16"/>
                <w:szCs w:val="16"/>
                <w:lang w:val="uk-UA"/>
              </w:rPr>
            </w:pPr>
            <w:r w:rsidRPr="00914558">
              <w:rPr>
                <w:sz w:val="16"/>
                <w:szCs w:val="16"/>
                <w:lang w:val="uk-UA"/>
              </w:rPr>
              <w:t>Обстеження та ремонт ротора генератора ТГ-3</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334,3</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334,3</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334,3</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334,3</w:t>
            </w:r>
          </w:p>
        </w:tc>
      </w:tr>
      <w:tr w:rsidR="00390D91" w:rsidTr="00914558">
        <w:tc>
          <w:tcPr>
            <w:tcW w:w="528" w:type="dxa"/>
          </w:tcPr>
          <w:p w:rsidR="00390D91" w:rsidRPr="00914558" w:rsidRDefault="00390D91" w:rsidP="00914558">
            <w:pPr>
              <w:spacing w:line="326" w:lineRule="exact"/>
              <w:jc w:val="both"/>
              <w:rPr>
                <w:sz w:val="16"/>
                <w:szCs w:val="16"/>
                <w:lang w:val="uk-UA"/>
              </w:rPr>
            </w:pPr>
            <w:r w:rsidRPr="00914558">
              <w:rPr>
                <w:sz w:val="16"/>
                <w:szCs w:val="16"/>
                <w:lang w:val="uk-UA"/>
              </w:rPr>
              <w:t>2</w:t>
            </w:r>
          </w:p>
        </w:tc>
        <w:tc>
          <w:tcPr>
            <w:tcW w:w="2166" w:type="dxa"/>
          </w:tcPr>
          <w:p w:rsidR="00390D91" w:rsidRPr="00914558" w:rsidRDefault="00390D91" w:rsidP="00914558">
            <w:pPr>
              <w:spacing w:line="326" w:lineRule="exact"/>
              <w:jc w:val="both"/>
              <w:rPr>
                <w:sz w:val="16"/>
                <w:szCs w:val="16"/>
                <w:lang w:val="uk-UA"/>
              </w:rPr>
            </w:pPr>
            <w:r w:rsidRPr="00914558">
              <w:rPr>
                <w:sz w:val="16"/>
                <w:szCs w:val="16"/>
                <w:lang w:val="uk-UA"/>
              </w:rPr>
              <w:t>Ремонт парового котла №2 з заміною поверхонь нагріву</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1 838,3</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2 500,1</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4 338,4</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1 041,9</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2 500,1</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3 542,0</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-796,4</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-796,4</w:t>
            </w:r>
          </w:p>
        </w:tc>
      </w:tr>
      <w:tr w:rsidR="00390D91" w:rsidTr="00914558">
        <w:tc>
          <w:tcPr>
            <w:tcW w:w="528" w:type="dxa"/>
          </w:tcPr>
          <w:p w:rsidR="00390D91" w:rsidRPr="00914558" w:rsidRDefault="00390D91" w:rsidP="00914558">
            <w:pPr>
              <w:spacing w:line="326" w:lineRule="exact"/>
              <w:jc w:val="both"/>
              <w:rPr>
                <w:sz w:val="16"/>
                <w:szCs w:val="16"/>
                <w:lang w:val="uk-UA"/>
              </w:rPr>
            </w:pPr>
            <w:r w:rsidRPr="00914558">
              <w:rPr>
                <w:sz w:val="16"/>
                <w:szCs w:val="16"/>
                <w:lang w:val="uk-UA"/>
              </w:rPr>
              <w:t>3</w:t>
            </w:r>
          </w:p>
        </w:tc>
        <w:tc>
          <w:tcPr>
            <w:tcW w:w="2166" w:type="dxa"/>
          </w:tcPr>
          <w:p w:rsidR="00390D91" w:rsidRPr="00914558" w:rsidRDefault="00390D91" w:rsidP="00914558">
            <w:pPr>
              <w:spacing w:line="326" w:lineRule="exact"/>
              <w:jc w:val="both"/>
              <w:rPr>
                <w:sz w:val="16"/>
                <w:szCs w:val="16"/>
                <w:lang w:val="uk-UA"/>
              </w:rPr>
            </w:pPr>
            <w:r w:rsidRPr="00914558">
              <w:rPr>
                <w:sz w:val="16"/>
                <w:szCs w:val="16"/>
                <w:lang w:val="uk-UA"/>
              </w:rPr>
              <w:t>Допоміжне обладнання КТЦ</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122,8</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122,8</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284,2</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284,2</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161,4</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161,4</w:t>
            </w:r>
          </w:p>
        </w:tc>
      </w:tr>
      <w:tr w:rsidR="00390D91" w:rsidTr="00914558">
        <w:tc>
          <w:tcPr>
            <w:tcW w:w="528" w:type="dxa"/>
          </w:tcPr>
          <w:p w:rsidR="00390D91" w:rsidRPr="00914558" w:rsidRDefault="00390D91" w:rsidP="00914558">
            <w:pPr>
              <w:spacing w:line="326" w:lineRule="exact"/>
              <w:jc w:val="both"/>
              <w:rPr>
                <w:sz w:val="16"/>
                <w:szCs w:val="16"/>
                <w:lang w:val="uk-UA"/>
              </w:rPr>
            </w:pPr>
            <w:r w:rsidRPr="00914558">
              <w:rPr>
                <w:sz w:val="16"/>
                <w:szCs w:val="16"/>
                <w:lang w:val="uk-UA"/>
              </w:rPr>
              <w:t>4</w:t>
            </w:r>
          </w:p>
        </w:tc>
        <w:tc>
          <w:tcPr>
            <w:tcW w:w="2166" w:type="dxa"/>
          </w:tcPr>
          <w:p w:rsidR="00390D91" w:rsidRPr="00914558" w:rsidRDefault="00390D91" w:rsidP="00914558">
            <w:pPr>
              <w:spacing w:line="326" w:lineRule="exact"/>
              <w:jc w:val="both"/>
              <w:rPr>
                <w:sz w:val="16"/>
                <w:szCs w:val="16"/>
                <w:lang w:val="uk-UA"/>
              </w:rPr>
            </w:pPr>
            <w:r w:rsidRPr="00914558">
              <w:rPr>
                <w:sz w:val="16"/>
                <w:szCs w:val="16"/>
                <w:lang w:val="uk-UA"/>
              </w:rPr>
              <w:t>Ремонт ротора турбіни ТГ-3</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135,3</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51,9</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187,2</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135,3</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51,9</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187,2</w:t>
            </w:r>
          </w:p>
        </w:tc>
      </w:tr>
      <w:tr w:rsidR="00390D91" w:rsidTr="00914558">
        <w:tc>
          <w:tcPr>
            <w:tcW w:w="528" w:type="dxa"/>
          </w:tcPr>
          <w:p w:rsidR="00390D91" w:rsidRPr="00914558" w:rsidRDefault="00390D91" w:rsidP="00914558">
            <w:pPr>
              <w:spacing w:line="326" w:lineRule="exact"/>
              <w:jc w:val="both"/>
              <w:rPr>
                <w:sz w:val="16"/>
                <w:szCs w:val="16"/>
                <w:lang w:val="uk-UA"/>
              </w:rPr>
            </w:pPr>
            <w:r w:rsidRPr="00914558">
              <w:rPr>
                <w:sz w:val="16"/>
                <w:szCs w:val="16"/>
                <w:lang w:val="uk-UA"/>
              </w:rPr>
              <w:t>5</w:t>
            </w:r>
          </w:p>
        </w:tc>
        <w:tc>
          <w:tcPr>
            <w:tcW w:w="2166" w:type="dxa"/>
          </w:tcPr>
          <w:p w:rsidR="00390D91" w:rsidRPr="00914558" w:rsidRDefault="00390D91" w:rsidP="00914558">
            <w:pPr>
              <w:spacing w:line="326" w:lineRule="exact"/>
              <w:jc w:val="both"/>
              <w:rPr>
                <w:sz w:val="16"/>
                <w:szCs w:val="16"/>
                <w:lang w:val="uk-UA"/>
              </w:rPr>
            </w:pPr>
            <w:r w:rsidRPr="00914558">
              <w:rPr>
                <w:sz w:val="16"/>
                <w:szCs w:val="16"/>
                <w:lang w:val="uk-UA"/>
              </w:rPr>
              <w:t>Виготовлення та монтаж площадок обслуговування циклона та сепаратора ПК-1</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0,0</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99,4</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14,0</w:t>
            </w:r>
          </w:p>
        </w:tc>
        <w:tc>
          <w:tcPr>
            <w:tcW w:w="829" w:type="dxa"/>
          </w:tcPr>
          <w:p w:rsidR="00390D91" w:rsidRPr="00914558" w:rsidRDefault="00390D91" w:rsidP="00914558">
            <w:pPr>
              <w:spacing w:line="326" w:lineRule="exact"/>
              <w:jc w:val="center"/>
              <w:rPr>
                <w:sz w:val="16"/>
                <w:szCs w:val="16"/>
                <w:lang w:val="uk-UA"/>
              </w:rPr>
            </w:pPr>
            <w:r w:rsidRPr="00914558">
              <w:rPr>
                <w:sz w:val="16"/>
                <w:szCs w:val="16"/>
                <w:lang w:val="uk-UA"/>
              </w:rPr>
              <w:t>113,4</w:t>
            </w:r>
          </w:p>
        </w:tc>
        <w:tc>
          <w:tcPr>
            <w:tcW w:w="993" w:type="dxa"/>
          </w:tcPr>
          <w:p w:rsidR="00390D91" w:rsidRPr="00914558" w:rsidRDefault="00390D91" w:rsidP="00914558">
            <w:pPr>
              <w:spacing w:line="326" w:lineRule="exact"/>
              <w:jc w:val="center"/>
              <w:rPr>
                <w:sz w:val="16"/>
                <w:szCs w:val="16"/>
                <w:lang w:val="uk-UA"/>
              </w:rPr>
            </w:pPr>
            <w:r w:rsidRPr="00914558">
              <w:rPr>
                <w:sz w:val="16"/>
                <w:szCs w:val="16"/>
                <w:lang w:val="uk-UA"/>
              </w:rPr>
              <w:t>99,4</w:t>
            </w:r>
          </w:p>
        </w:tc>
        <w:tc>
          <w:tcPr>
            <w:tcW w:w="1013" w:type="dxa"/>
          </w:tcPr>
          <w:p w:rsidR="00390D91" w:rsidRPr="00914558" w:rsidRDefault="00390D91" w:rsidP="00914558">
            <w:pPr>
              <w:spacing w:line="326" w:lineRule="exact"/>
              <w:jc w:val="center"/>
              <w:rPr>
                <w:sz w:val="16"/>
                <w:szCs w:val="16"/>
                <w:lang w:val="uk-UA"/>
              </w:rPr>
            </w:pPr>
            <w:r w:rsidRPr="00914558">
              <w:rPr>
                <w:sz w:val="16"/>
                <w:szCs w:val="16"/>
                <w:lang w:val="uk-UA"/>
              </w:rPr>
              <w:t>14,0</w:t>
            </w:r>
          </w:p>
        </w:tc>
        <w:tc>
          <w:tcPr>
            <w:tcW w:w="829" w:type="dxa"/>
          </w:tcPr>
          <w:p w:rsidR="00390D91" w:rsidRPr="00914558" w:rsidRDefault="00390D91" w:rsidP="00914558">
            <w:pPr>
              <w:spacing w:line="326" w:lineRule="exact"/>
              <w:jc w:val="center"/>
              <w:rPr>
                <w:sz w:val="16"/>
                <w:szCs w:val="16"/>
                <w:lang w:val="en-US"/>
              </w:rPr>
            </w:pPr>
            <w:r w:rsidRPr="00914558">
              <w:rPr>
                <w:sz w:val="16"/>
                <w:szCs w:val="16"/>
                <w:lang w:val="uk-UA"/>
              </w:rPr>
              <w:t>113,</w:t>
            </w:r>
            <w:r w:rsidRPr="00914558">
              <w:rPr>
                <w:sz w:val="16"/>
                <w:szCs w:val="16"/>
                <w:lang w:val="en-US"/>
              </w:rPr>
              <w:t>4</w:t>
            </w:r>
          </w:p>
        </w:tc>
      </w:tr>
      <w:tr w:rsidR="00390D91" w:rsidTr="00914558">
        <w:tc>
          <w:tcPr>
            <w:tcW w:w="8364" w:type="dxa"/>
            <w:gridSpan w:val="8"/>
          </w:tcPr>
          <w:p w:rsidR="00390D91" w:rsidRPr="00914558" w:rsidRDefault="00390D91" w:rsidP="00914558">
            <w:pPr>
              <w:spacing w:line="326" w:lineRule="exact"/>
              <w:jc w:val="right"/>
              <w:rPr>
                <w:b/>
                <w:sz w:val="16"/>
                <w:szCs w:val="16"/>
                <w:lang w:val="uk-UA"/>
              </w:rPr>
            </w:pPr>
            <w:r w:rsidRPr="00914558">
              <w:rPr>
                <w:b/>
                <w:sz w:val="16"/>
                <w:szCs w:val="16"/>
                <w:lang w:val="uk-UA"/>
              </w:rPr>
              <w:t>ВСЬОГО</w:t>
            </w:r>
          </w:p>
        </w:tc>
        <w:tc>
          <w:tcPr>
            <w:tcW w:w="993" w:type="dxa"/>
          </w:tcPr>
          <w:p w:rsidR="00390D91" w:rsidRPr="00914558" w:rsidRDefault="00390D91" w:rsidP="00914558">
            <w:pPr>
              <w:spacing w:line="326" w:lineRule="exact"/>
              <w:jc w:val="center"/>
              <w:rPr>
                <w:b/>
                <w:sz w:val="16"/>
                <w:szCs w:val="16"/>
                <w:lang w:val="uk-UA"/>
              </w:rPr>
            </w:pPr>
            <w:r w:rsidRPr="00914558">
              <w:rPr>
                <w:b/>
                <w:sz w:val="16"/>
                <w:szCs w:val="16"/>
                <w:lang w:val="uk-UA"/>
              </w:rPr>
              <w:t>-227,4</w:t>
            </w:r>
          </w:p>
        </w:tc>
        <w:tc>
          <w:tcPr>
            <w:tcW w:w="1013" w:type="dxa"/>
          </w:tcPr>
          <w:p w:rsidR="00390D91" w:rsidRPr="00914558" w:rsidRDefault="00390D91" w:rsidP="00914558">
            <w:pPr>
              <w:spacing w:line="326" w:lineRule="exact"/>
              <w:jc w:val="center"/>
              <w:rPr>
                <w:b/>
                <w:sz w:val="16"/>
                <w:szCs w:val="16"/>
                <w:lang w:val="uk-UA"/>
              </w:rPr>
            </w:pPr>
            <w:r w:rsidRPr="00914558">
              <w:rPr>
                <w:b/>
                <w:sz w:val="16"/>
                <w:szCs w:val="16"/>
                <w:lang w:val="uk-UA"/>
              </w:rPr>
              <w:t>227,4</w:t>
            </w:r>
          </w:p>
        </w:tc>
        <w:tc>
          <w:tcPr>
            <w:tcW w:w="829" w:type="dxa"/>
          </w:tcPr>
          <w:p w:rsidR="00390D91" w:rsidRPr="00914558" w:rsidRDefault="00390D91" w:rsidP="00914558">
            <w:pPr>
              <w:spacing w:line="326" w:lineRule="exact"/>
              <w:jc w:val="center"/>
              <w:rPr>
                <w:b/>
                <w:sz w:val="16"/>
                <w:szCs w:val="16"/>
                <w:lang w:val="uk-UA"/>
              </w:rPr>
            </w:pPr>
            <w:r w:rsidRPr="00914558">
              <w:rPr>
                <w:b/>
                <w:sz w:val="16"/>
                <w:szCs w:val="16"/>
                <w:lang w:val="uk-UA"/>
              </w:rPr>
              <w:t>0,0</w:t>
            </w:r>
          </w:p>
        </w:tc>
      </w:tr>
    </w:tbl>
    <w:p w:rsidR="00390D91" w:rsidRPr="00BB14EC" w:rsidRDefault="00390D91" w:rsidP="004511DD">
      <w:pPr>
        <w:shd w:val="clear" w:color="auto" w:fill="FFFFFF"/>
        <w:spacing w:line="326" w:lineRule="exact"/>
        <w:ind w:firstLine="426"/>
        <w:jc w:val="both"/>
        <w:rPr>
          <w:sz w:val="28"/>
          <w:szCs w:val="28"/>
          <w:lang w:val="uk-UA"/>
        </w:rPr>
      </w:pPr>
    </w:p>
    <w:p w:rsidR="00390D91" w:rsidRPr="00BB14EC" w:rsidRDefault="00390D91" w:rsidP="004E006B">
      <w:pPr>
        <w:shd w:val="clear" w:color="auto" w:fill="FFFFFF"/>
        <w:spacing w:line="326" w:lineRule="exact"/>
        <w:jc w:val="both"/>
        <w:rPr>
          <w:sz w:val="28"/>
          <w:szCs w:val="28"/>
          <w:lang w:val="uk-UA"/>
        </w:rPr>
      </w:pPr>
    </w:p>
    <w:p w:rsidR="00390D91" w:rsidRDefault="00390D91" w:rsidP="00B46EAB">
      <w:pPr>
        <w:shd w:val="clear" w:color="auto" w:fill="FFFFFF"/>
        <w:spacing w:line="326" w:lineRule="exact"/>
        <w:ind w:firstLine="426"/>
        <w:jc w:val="both"/>
        <w:rPr>
          <w:b/>
          <w:i/>
          <w:sz w:val="28"/>
          <w:szCs w:val="28"/>
          <w:lang w:val="uk-UA"/>
        </w:rPr>
      </w:pPr>
      <w:r w:rsidRPr="004520F1">
        <w:rPr>
          <w:b/>
          <w:i/>
          <w:sz w:val="28"/>
          <w:szCs w:val="28"/>
          <w:lang w:val="uk-UA"/>
        </w:rPr>
        <w:t>Пункт II.</w:t>
      </w:r>
      <w:r>
        <w:rPr>
          <w:b/>
          <w:i/>
          <w:sz w:val="28"/>
          <w:szCs w:val="28"/>
          <w:lang w:val="uk-UA"/>
        </w:rPr>
        <w:t>1.2</w:t>
      </w:r>
      <w:r w:rsidRPr="004520F1">
        <w:rPr>
          <w:b/>
          <w:i/>
          <w:sz w:val="28"/>
          <w:szCs w:val="28"/>
          <w:lang w:val="uk-UA"/>
        </w:rPr>
        <w:t xml:space="preserve"> </w:t>
      </w:r>
      <w:r w:rsidRPr="004520F1">
        <w:rPr>
          <w:b/>
          <w:spacing w:val="-2"/>
          <w:sz w:val="28"/>
          <w:lang w:val="uk-UA"/>
        </w:rPr>
        <w:t>«</w:t>
      </w:r>
      <w:r w:rsidRPr="004520F1">
        <w:rPr>
          <w:b/>
          <w:sz w:val="28"/>
          <w:szCs w:val="28"/>
          <w:lang w:val="uk-UA"/>
        </w:rPr>
        <w:t>Амортизаційні відрахування, які не є джерелом фінансування інвестиційної програми»</w:t>
      </w:r>
      <w:r w:rsidRPr="004520F1">
        <w:rPr>
          <w:b/>
          <w:i/>
          <w:sz w:val="28"/>
          <w:szCs w:val="28"/>
          <w:lang w:val="uk-UA"/>
        </w:rPr>
        <w:t>: «</w:t>
      </w:r>
      <w:r>
        <w:rPr>
          <w:b/>
          <w:i/>
          <w:sz w:val="28"/>
          <w:szCs w:val="28"/>
          <w:lang w:val="uk-UA"/>
        </w:rPr>
        <w:t>Обстеження та ремонт ротора генератора ТГ-3</w:t>
      </w:r>
      <w:r w:rsidRPr="004520F1">
        <w:rPr>
          <w:b/>
          <w:i/>
          <w:sz w:val="28"/>
          <w:szCs w:val="28"/>
          <w:lang w:val="uk-UA"/>
        </w:rPr>
        <w:t>»</w:t>
      </w:r>
      <w:r>
        <w:rPr>
          <w:b/>
          <w:i/>
          <w:sz w:val="28"/>
          <w:szCs w:val="28"/>
          <w:lang w:val="uk-UA"/>
        </w:rPr>
        <w:t>.</w:t>
      </w:r>
    </w:p>
    <w:p w:rsidR="00390D91" w:rsidRPr="004520F1" w:rsidRDefault="00390D91" w:rsidP="00B46EAB">
      <w:pPr>
        <w:shd w:val="clear" w:color="auto" w:fill="FFFFFF"/>
        <w:spacing w:line="326" w:lineRule="exact"/>
        <w:ind w:firstLine="426"/>
        <w:jc w:val="both"/>
        <w:rPr>
          <w:b/>
          <w:i/>
          <w:sz w:val="28"/>
          <w:szCs w:val="28"/>
          <w:lang w:val="uk-UA"/>
        </w:rPr>
      </w:pPr>
    </w:p>
    <w:p w:rsidR="00390D91" w:rsidRPr="007077FC" w:rsidRDefault="00390D91" w:rsidP="00CF481E">
      <w:pPr>
        <w:shd w:val="clear" w:color="auto" w:fill="FFFFFF"/>
        <w:spacing w:line="326" w:lineRule="exact"/>
        <w:ind w:firstLine="426"/>
        <w:jc w:val="both"/>
        <w:rPr>
          <w:sz w:val="28"/>
          <w:szCs w:val="28"/>
        </w:rPr>
      </w:pPr>
      <w:r w:rsidRPr="00BB14EC">
        <w:rPr>
          <w:spacing w:val="-2"/>
          <w:sz w:val="28"/>
          <w:szCs w:val="28"/>
          <w:lang w:val="uk-UA"/>
        </w:rPr>
        <w:t>Постановами НКРЕКП № 1692 від 10.12.2018р. та №591 від 22.04.2019р.</w:t>
      </w:r>
      <w:r w:rsidRPr="004520F1">
        <w:rPr>
          <w:spacing w:val="-2"/>
          <w:sz w:val="28"/>
          <w:lang w:val="uk-UA"/>
        </w:rPr>
        <w:t xml:space="preserve"> </w:t>
      </w:r>
      <w:r>
        <w:rPr>
          <w:sz w:val="28"/>
          <w:szCs w:val="28"/>
          <w:lang w:val="uk-UA"/>
        </w:rPr>
        <w:t>на о</w:t>
      </w:r>
      <w:r w:rsidRPr="003B049E">
        <w:rPr>
          <w:sz w:val="28"/>
          <w:szCs w:val="28"/>
          <w:lang w:val="uk-UA"/>
        </w:rPr>
        <w:t>бстеження та ремонт ротора генератора ТГ-3</w:t>
      </w:r>
      <w:r>
        <w:rPr>
          <w:sz w:val="28"/>
          <w:szCs w:val="28"/>
          <w:lang w:val="uk-UA"/>
        </w:rPr>
        <w:t xml:space="preserve"> </w:t>
      </w:r>
      <w:r w:rsidRPr="004520F1">
        <w:rPr>
          <w:sz w:val="28"/>
          <w:szCs w:val="28"/>
          <w:lang w:val="uk-UA"/>
        </w:rPr>
        <w:t>було затверджено суму у розмірі 0,0  тис грн без ПДВ. (в т.ч. матеріалів –</w:t>
      </w:r>
      <w:r>
        <w:rPr>
          <w:sz w:val="28"/>
          <w:szCs w:val="28"/>
          <w:lang w:val="uk-UA"/>
        </w:rPr>
        <w:t xml:space="preserve"> </w:t>
      </w:r>
      <w:r w:rsidRPr="004520F1">
        <w:rPr>
          <w:sz w:val="28"/>
          <w:szCs w:val="28"/>
          <w:lang w:val="uk-UA"/>
        </w:rPr>
        <w:t>0,0 тис грн без ПДВ, робіт 0,0 тис. грн без ПДВ).</w:t>
      </w:r>
    </w:p>
    <w:p w:rsidR="00390D91" w:rsidRDefault="00390D91" w:rsidP="00CF481E">
      <w:pPr>
        <w:shd w:val="clear" w:color="auto" w:fill="FFFFFF"/>
        <w:spacing w:line="326" w:lineRule="exact"/>
        <w:ind w:firstLine="426"/>
        <w:jc w:val="both"/>
        <w:rPr>
          <w:sz w:val="28"/>
          <w:szCs w:val="28"/>
          <w:lang w:val="uk-UA"/>
        </w:rPr>
      </w:pPr>
      <w:r>
        <w:rPr>
          <w:sz w:val="28"/>
          <w:szCs w:val="28"/>
          <w:lang w:val="uk-UA"/>
        </w:rPr>
        <w:t xml:space="preserve">У лютому 2019 року турбогенератор №3 було аварійно зупинено внаслідок виникнення подвійного замкнення обмотки збудження ротору. </w:t>
      </w:r>
    </w:p>
    <w:p w:rsidR="00390D91" w:rsidRPr="007077FC" w:rsidRDefault="00390D91" w:rsidP="00DD39A7">
      <w:pPr>
        <w:shd w:val="clear" w:color="auto" w:fill="FFFFFF"/>
        <w:spacing w:line="326" w:lineRule="exact"/>
        <w:ind w:firstLine="426"/>
        <w:jc w:val="both"/>
        <w:rPr>
          <w:sz w:val="28"/>
          <w:szCs w:val="28"/>
          <w:lang w:val="uk-UA"/>
        </w:rPr>
      </w:pPr>
      <w:r>
        <w:rPr>
          <w:sz w:val="28"/>
          <w:szCs w:val="28"/>
          <w:lang w:val="uk-UA"/>
        </w:rPr>
        <w:t>При вимірах та випробуваннях ротора генератора ТГ-3 виявлено, що опір ізоляції обмотки ротора на корпус не відповідає нормам, опір обмотки ротора постійному струму не відповідає паспортним даним. Згідно Правил експлуатації електричних станцій та мереж подальша експлуатація генератора заборонена до усунення замикання.</w:t>
      </w:r>
    </w:p>
    <w:p w:rsidR="00390D91" w:rsidRDefault="00390D91" w:rsidP="003B049E">
      <w:pPr>
        <w:shd w:val="clear" w:color="auto" w:fill="FFFFFF"/>
        <w:spacing w:line="326" w:lineRule="exact"/>
        <w:ind w:firstLine="426"/>
        <w:jc w:val="both"/>
        <w:rPr>
          <w:sz w:val="28"/>
          <w:szCs w:val="28"/>
          <w:lang w:val="uk-UA"/>
        </w:rPr>
      </w:pPr>
      <w:r>
        <w:rPr>
          <w:sz w:val="28"/>
          <w:szCs w:val="28"/>
          <w:lang w:val="uk-UA"/>
        </w:rPr>
        <w:t>Для усунення дефектів необхідно виконати ремонт ротора з залученням спеціалізованої організації з виготовленням пошкоджених стержнів обмотки збудження, їх заміною та подальшим проведенням контрольно вимірювальних випробувань.</w:t>
      </w:r>
    </w:p>
    <w:p w:rsidR="00390D91" w:rsidRDefault="00390D91" w:rsidP="007B46D3">
      <w:pPr>
        <w:shd w:val="clear" w:color="auto" w:fill="FFFFFF"/>
        <w:spacing w:line="326" w:lineRule="exact"/>
        <w:ind w:firstLine="426"/>
        <w:jc w:val="both"/>
        <w:rPr>
          <w:b/>
          <w:sz w:val="28"/>
          <w:szCs w:val="28"/>
          <w:lang w:val="uk-UA"/>
        </w:rPr>
      </w:pPr>
      <w:r>
        <w:rPr>
          <w:sz w:val="28"/>
          <w:szCs w:val="28"/>
          <w:lang w:val="uk-UA"/>
        </w:rPr>
        <w:t xml:space="preserve">Без включення у перелік витрат виконання ремонту ротора генератора ТГ-3 забезпечити надійність експлуатації обладнання та, як наслідок, постачання споживачам теплової та електричної енергії, буде </w:t>
      </w:r>
      <w:r>
        <w:rPr>
          <w:b/>
          <w:sz w:val="28"/>
          <w:szCs w:val="28"/>
          <w:lang w:val="uk-UA"/>
        </w:rPr>
        <w:t>неможливо.</w:t>
      </w:r>
    </w:p>
    <w:p w:rsidR="00390D91" w:rsidRDefault="00390D91" w:rsidP="005C2EA1">
      <w:pPr>
        <w:shd w:val="clear" w:color="auto" w:fill="FFFFFF"/>
        <w:spacing w:line="326" w:lineRule="exact"/>
        <w:ind w:firstLine="426"/>
        <w:jc w:val="both"/>
        <w:rPr>
          <w:sz w:val="28"/>
          <w:szCs w:val="28"/>
          <w:lang w:val="uk-UA"/>
        </w:rPr>
      </w:pPr>
      <w:r>
        <w:rPr>
          <w:sz w:val="28"/>
          <w:szCs w:val="28"/>
          <w:lang w:val="uk-UA"/>
        </w:rPr>
        <w:t xml:space="preserve">Після опрацювання вартості об’єму робіт, загальна вартість витрат для проведення обстеження та ремонту ротора генератора ТГ-3 склала – </w:t>
      </w:r>
      <w:r w:rsidRPr="005C2EA1">
        <w:rPr>
          <w:b/>
          <w:sz w:val="28"/>
          <w:szCs w:val="28"/>
          <w:lang w:val="uk-UA"/>
        </w:rPr>
        <w:t>334,3 тис. грн. без ПДВ</w:t>
      </w:r>
      <w:r>
        <w:rPr>
          <w:sz w:val="28"/>
          <w:szCs w:val="28"/>
          <w:lang w:val="uk-UA"/>
        </w:rPr>
        <w:t xml:space="preserve">, в тому числі вартість робіт  – 334,3 тис. грн. без ПДВ, вартість матеріалів – 0,0 тис. грн. без ПДВ. </w:t>
      </w:r>
    </w:p>
    <w:p w:rsidR="00390D91" w:rsidRPr="00722395" w:rsidRDefault="00390D91" w:rsidP="00314108">
      <w:pPr>
        <w:shd w:val="clear" w:color="auto" w:fill="FFFFFF"/>
        <w:spacing w:line="326" w:lineRule="exact"/>
        <w:ind w:firstLine="426"/>
        <w:jc w:val="both"/>
        <w:rPr>
          <w:sz w:val="28"/>
          <w:szCs w:val="28"/>
          <w:lang w:val="uk-UA"/>
        </w:rPr>
      </w:pPr>
      <w:r w:rsidRPr="00722395">
        <w:rPr>
          <w:sz w:val="28"/>
          <w:szCs w:val="28"/>
          <w:lang w:val="uk-UA"/>
        </w:rPr>
        <w:t xml:space="preserve">Додаткове фінансування </w:t>
      </w:r>
      <w:r>
        <w:rPr>
          <w:sz w:val="28"/>
          <w:szCs w:val="28"/>
          <w:lang w:val="uk-UA"/>
        </w:rPr>
        <w:t>Сумська ТЕЦ</w:t>
      </w:r>
      <w:r w:rsidRPr="00722395">
        <w:rPr>
          <w:sz w:val="28"/>
          <w:szCs w:val="28"/>
          <w:lang w:val="uk-UA"/>
        </w:rPr>
        <w:t xml:space="preserve"> пропонує виконати за рахунок зекономлених коштів на інших статтях ремонтної програми (</w:t>
      </w:r>
      <w:r w:rsidRPr="00722395">
        <w:rPr>
          <w:i/>
          <w:sz w:val="28"/>
          <w:szCs w:val="28"/>
          <w:lang w:val="uk-UA"/>
        </w:rPr>
        <w:t>Пункт II.2.1</w:t>
      </w:r>
      <w:r w:rsidRPr="00722395">
        <w:rPr>
          <w:spacing w:val="-2"/>
          <w:sz w:val="28"/>
          <w:lang w:val="uk-UA"/>
        </w:rPr>
        <w:t>«</w:t>
      </w:r>
      <w:r w:rsidRPr="00722395">
        <w:rPr>
          <w:sz w:val="28"/>
          <w:szCs w:val="28"/>
          <w:lang w:val="uk-UA"/>
        </w:rPr>
        <w:t>Амортизаційні відрахування, які не є джерелом фінансування інвестиційної програми»</w:t>
      </w:r>
      <w:r w:rsidRPr="00722395">
        <w:rPr>
          <w:i/>
          <w:sz w:val="28"/>
          <w:szCs w:val="28"/>
          <w:lang w:val="uk-UA"/>
        </w:rPr>
        <w:t>:  «Капітальний ремонт парового котла №2 з заміною поверхонь нагріву»)</w:t>
      </w:r>
      <w:r w:rsidRPr="00722395">
        <w:rPr>
          <w:sz w:val="28"/>
          <w:szCs w:val="28"/>
          <w:lang w:val="uk-UA"/>
        </w:rPr>
        <w:t xml:space="preserve"> без зміни джерел фінансування, структури тарифу та загальної вартості ремонтної програми. </w:t>
      </w:r>
    </w:p>
    <w:p w:rsidR="00390D91" w:rsidRPr="004E006B" w:rsidRDefault="00390D91" w:rsidP="00D50C9B">
      <w:pPr>
        <w:shd w:val="clear" w:color="auto" w:fill="FFFFFF"/>
        <w:spacing w:line="326" w:lineRule="exact"/>
        <w:ind w:firstLine="426"/>
        <w:jc w:val="both"/>
        <w:rPr>
          <w:sz w:val="28"/>
          <w:szCs w:val="28"/>
          <w:lang w:val="uk-UA"/>
        </w:rPr>
      </w:pPr>
    </w:p>
    <w:p w:rsidR="00390D91" w:rsidRPr="00012140" w:rsidRDefault="00390D91" w:rsidP="005C2EA1">
      <w:pPr>
        <w:shd w:val="clear" w:color="auto" w:fill="FFFFFF"/>
        <w:spacing w:line="326" w:lineRule="exact"/>
        <w:jc w:val="both"/>
        <w:rPr>
          <w:sz w:val="28"/>
          <w:szCs w:val="28"/>
          <w:lang w:val="uk-UA"/>
        </w:rPr>
      </w:pPr>
    </w:p>
    <w:p w:rsidR="00390D91" w:rsidRPr="00722395" w:rsidRDefault="00390D91" w:rsidP="0033095D">
      <w:pPr>
        <w:shd w:val="clear" w:color="auto" w:fill="FFFFFF"/>
        <w:spacing w:line="326" w:lineRule="exact"/>
        <w:ind w:firstLine="426"/>
        <w:jc w:val="both"/>
        <w:rPr>
          <w:b/>
          <w:i/>
          <w:sz w:val="28"/>
          <w:szCs w:val="28"/>
          <w:lang w:val="uk-UA"/>
        </w:rPr>
      </w:pPr>
      <w:r w:rsidRPr="00722395">
        <w:rPr>
          <w:b/>
          <w:i/>
          <w:sz w:val="28"/>
          <w:szCs w:val="28"/>
          <w:lang w:val="uk-UA"/>
        </w:rPr>
        <w:t>Пункт II.2.6.</w:t>
      </w:r>
      <w:r w:rsidRPr="00722395">
        <w:rPr>
          <w:b/>
          <w:spacing w:val="-2"/>
          <w:sz w:val="28"/>
          <w:lang w:val="uk-UA"/>
        </w:rPr>
        <w:t>«</w:t>
      </w:r>
      <w:r w:rsidRPr="00722395">
        <w:rPr>
          <w:b/>
          <w:sz w:val="28"/>
          <w:szCs w:val="28"/>
          <w:lang w:val="uk-UA"/>
        </w:rPr>
        <w:t>Амортизаційні відрахування, що не є джерелом фінансування інвестиційної програми»</w:t>
      </w:r>
      <w:r w:rsidRPr="00722395">
        <w:rPr>
          <w:b/>
          <w:i/>
          <w:sz w:val="28"/>
          <w:szCs w:val="28"/>
          <w:lang w:val="uk-UA"/>
        </w:rPr>
        <w:t>: «Допоміжне обладнання КТЦ».</w:t>
      </w:r>
    </w:p>
    <w:p w:rsidR="00390D91" w:rsidRPr="00722395" w:rsidRDefault="00390D91" w:rsidP="0033095D">
      <w:pPr>
        <w:shd w:val="clear" w:color="auto" w:fill="FFFFFF"/>
        <w:spacing w:line="326" w:lineRule="exact"/>
        <w:ind w:firstLine="426"/>
        <w:jc w:val="both"/>
        <w:rPr>
          <w:sz w:val="28"/>
          <w:szCs w:val="28"/>
          <w:lang w:val="uk-UA"/>
        </w:rPr>
      </w:pPr>
    </w:p>
    <w:p w:rsidR="00390D91" w:rsidRDefault="00390D91" w:rsidP="0033095D">
      <w:pPr>
        <w:shd w:val="clear" w:color="auto" w:fill="FFFFFF"/>
        <w:spacing w:line="326" w:lineRule="exact"/>
        <w:ind w:firstLine="426"/>
        <w:jc w:val="both"/>
        <w:rPr>
          <w:sz w:val="28"/>
          <w:szCs w:val="28"/>
          <w:lang w:val="uk-UA"/>
        </w:rPr>
      </w:pPr>
      <w:r w:rsidRPr="00BB14EC">
        <w:rPr>
          <w:spacing w:val="-2"/>
          <w:sz w:val="28"/>
          <w:szCs w:val="28"/>
          <w:lang w:val="uk-UA"/>
        </w:rPr>
        <w:t>Постановами НКРЕКП № 1692 від 10.12.2018р. та №591 від 22.04.2019р.</w:t>
      </w:r>
      <w:r w:rsidRPr="00722395">
        <w:rPr>
          <w:sz w:val="28"/>
          <w:szCs w:val="28"/>
          <w:lang w:val="uk-UA"/>
        </w:rPr>
        <w:t xml:space="preserve"> для ремонту </w:t>
      </w:r>
      <w:r w:rsidRPr="00722395">
        <w:rPr>
          <w:b/>
          <w:i/>
          <w:sz w:val="28"/>
          <w:szCs w:val="28"/>
          <w:lang w:val="uk-UA"/>
        </w:rPr>
        <w:t xml:space="preserve">допоміжного обладнання КТЦ </w:t>
      </w:r>
      <w:r w:rsidRPr="00722395">
        <w:rPr>
          <w:sz w:val="28"/>
          <w:szCs w:val="28"/>
          <w:lang w:val="uk-UA"/>
        </w:rPr>
        <w:t xml:space="preserve">було затверджено суму витрат у розмірі 122,8  тис грн. без ПДВ. (в т.ч. матеріалів – </w:t>
      </w:r>
      <w:r w:rsidRPr="00DD39A7">
        <w:rPr>
          <w:sz w:val="28"/>
          <w:szCs w:val="28"/>
          <w:lang w:val="uk-UA"/>
        </w:rPr>
        <w:t>122,8</w:t>
      </w:r>
      <w:r w:rsidRPr="00722395">
        <w:rPr>
          <w:sz w:val="28"/>
          <w:szCs w:val="28"/>
          <w:lang w:val="uk-UA"/>
        </w:rPr>
        <w:t xml:space="preserve"> тис. грн. без ПДВ).</w:t>
      </w:r>
    </w:p>
    <w:p w:rsidR="00390D91" w:rsidRPr="00314108" w:rsidRDefault="00390D91" w:rsidP="0033095D">
      <w:pPr>
        <w:shd w:val="clear" w:color="auto" w:fill="FFFFFF"/>
        <w:spacing w:line="326" w:lineRule="exact"/>
        <w:ind w:firstLine="426"/>
        <w:jc w:val="both"/>
        <w:rPr>
          <w:sz w:val="28"/>
          <w:szCs w:val="28"/>
          <w:lang w:val="uk-UA"/>
        </w:rPr>
      </w:pPr>
      <w:r>
        <w:rPr>
          <w:sz w:val="28"/>
          <w:szCs w:val="28"/>
          <w:lang w:val="uk-UA"/>
        </w:rPr>
        <w:t xml:space="preserve">При виконанні ремонтних робіт допоміжного обладнання КТЦ, згідно вимог ГКД 34.20.661-2003, було проведено дефектацію вказаного обладнання та виявлено ряд дефектів, які неможливо було передбачити раніше. Усунення виявлених дефектів </w:t>
      </w:r>
      <w:r>
        <w:rPr>
          <w:b/>
          <w:sz w:val="28"/>
          <w:szCs w:val="28"/>
          <w:lang w:val="uk-UA"/>
        </w:rPr>
        <w:t xml:space="preserve">критично важливе, </w:t>
      </w:r>
      <w:r>
        <w:rPr>
          <w:sz w:val="28"/>
          <w:szCs w:val="28"/>
          <w:lang w:val="uk-UA"/>
        </w:rPr>
        <w:t>адже від цього залежить надійність та безаварійность роботи підприємства у опалювальний період 2019-2020 років.</w:t>
      </w:r>
    </w:p>
    <w:p w:rsidR="00390D91" w:rsidRPr="00722395" w:rsidRDefault="00390D91" w:rsidP="0033095D">
      <w:pPr>
        <w:shd w:val="clear" w:color="auto" w:fill="FFFFFF"/>
        <w:spacing w:line="326" w:lineRule="exact"/>
        <w:ind w:firstLine="426"/>
        <w:jc w:val="both"/>
        <w:rPr>
          <w:sz w:val="28"/>
          <w:szCs w:val="28"/>
          <w:lang w:val="uk-UA"/>
        </w:rPr>
      </w:pPr>
      <w:r w:rsidRPr="00722395">
        <w:rPr>
          <w:sz w:val="28"/>
          <w:szCs w:val="28"/>
          <w:lang w:val="uk-UA"/>
        </w:rPr>
        <w:t xml:space="preserve">Після опрацювання вартості матеріалів для проведення ремонтів </w:t>
      </w:r>
      <w:r w:rsidRPr="00722395">
        <w:rPr>
          <w:b/>
          <w:i/>
          <w:sz w:val="28"/>
          <w:szCs w:val="28"/>
          <w:lang w:val="uk-UA"/>
        </w:rPr>
        <w:t xml:space="preserve">допоміжного обладнання КТЦ </w:t>
      </w:r>
      <w:r w:rsidRPr="00722395">
        <w:rPr>
          <w:sz w:val="28"/>
          <w:szCs w:val="28"/>
          <w:lang w:val="uk-UA"/>
        </w:rPr>
        <w:t>витрат</w:t>
      </w:r>
      <w:r>
        <w:rPr>
          <w:sz w:val="28"/>
          <w:szCs w:val="28"/>
          <w:lang w:val="uk-UA"/>
        </w:rPr>
        <w:t>и</w:t>
      </w:r>
      <w:r w:rsidRPr="00722395">
        <w:rPr>
          <w:sz w:val="28"/>
          <w:szCs w:val="28"/>
          <w:lang w:val="uk-UA"/>
        </w:rPr>
        <w:t xml:space="preserve"> на </w:t>
      </w:r>
      <w:r>
        <w:rPr>
          <w:sz w:val="28"/>
          <w:szCs w:val="28"/>
          <w:lang w:val="uk-UA"/>
        </w:rPr>
        <w:t>виконання заходу з ремонту</w:t>
      </w:r>
      <w:r w:rsidRPr="00722395">
        <w:rPr>
          <w:sz w:val="28"/>
          <w:szCs w:val="28"/>
          <w:lang w:val="uk-UA"/>
        </w:rPr>
        <w:t xml:space="preserve"> допоміжного обладнання КТЦ </w:t>
      </w:r>
      <w:r>
        <w:rPr>
          <w:sz w:val="28"/>
          <w:szCs w:val="28"/>
          <w:lang w:val="uk-UA"/>
        </w:rPr>
        <w:t>становлять</w:t>
      </w:r>
      <w:r w:rsidRPr="00722395">
        <w:rPr>
          <w:sz w:val="28"/>
          <w:szCs w:val="28"/>
          <w:lang w:val="uk-UA"/>
        </w:rPr>
        <w:t xml:space="preserve">  </w:t>
      </w:r>
      <w:r w:rsidRPr="00722395">
        <w:rPr>
          <w:b/>
          <w:sz w:val="28"/>
          <w:szCs w:val="28"/>
          <w:lang w:val="uk-UA"/>
        </w:rPr>
        <w:t xml:space="preserve">284,2 тис грн без ПДВ </w:t>
      </w:r>
      <w:r w:rsidRPr="00722395">
        <w:rPr>
          <w:sz w:val="28"/>
          <w:szCs w:val="28"/>
          <w:lang w:val="uk-UA"/>
        </w:rPr>
        <w:t xml:space="preserve"> (вартість  матеріалів на загальну суму </w:t>
      </w:r>
      <w:r w:rsidRPr="00722395">
        <w:rPr>
          <w:b/>
          <w:sz w:val="28"/>
          <w:szCs w:val="28"/>
          <w:lang w:val="uk-UA"/>
        </w:rPr>
        <w:t>284,2 тис. грн без ПДВ)</w:t>
      </w:r>
      <w:r w:rsidRPr="00722395">
        <w:rPr>
          <w:sz w:val="28"/>
          <w:szCs w:val="28"/>
          <w:lang w:val="uk-UA"/>
        </w:rPr>
        <w:t xml:space="preserve">. </w:t>
      </w:r>
    </w:p>
    <w:p w:rsidR="00390D91" w:rsidRPr="00722395" w:rsidRDefault="00390D91" w:rsidP="0033095D">
      <w:pPr>
        <w:shd w:val="clear" w:color="auto" w:fill="FFFFFF"/>
        <w:spacing w:line="326" w:lineRule="exact"/>
        <w:ind w:firstLine="426"/>
        <w:jc w:val="both"/>
        <w:rPr>
          <w:sz w:val="28"/>
          <w:szCs w:val="28"/>
          <w:lang w:val="uk-UA"/>
        </w:rPr>
      </w:pPr>
      <w:r w:rsidRPr="00722395">
        <w:rPr>
          <w:sz w:val="28"/>
          <w:szCs w:val="28"/>
          <w:lang w:val="uk-UA"/>
        </w:rPr>
        <w:t>Додаткове фінансування станція пропонує виконати за рахунок зекономлених коштів на інших статтях ремонтної програми (</w:t>
      </w:r>
      <w:r w:rsidRPr="00722395">
        <w:rPr>
          <w:i/>
          <w:sz w:val="28"/>
          <w:szCs w:val="28"/>
          <w:lang w:val="uk-UA"/>
        </w:rPr>
        <w:t>Пункт II.2.1</w:t>
      </w:r>
      <w:r w:rsidRPr="00722395">
        <w:rPr>
          <w:spacing w:val="-2"/>
          <w:sz w:val="28"/>
          <w:lang w:val="uk-UA"/>
        </w:rPr>
        <w:t>«</w:t>
      </w:r>
      <w:r w:rsidRPr="00722395">
        <w:rPr>
          <w:sz w:val="28"/>
          <w:szCs w:val="28"/>
          <w:lang w:val="uk-UA"/>
        </w:rPr>
        <w:t>Амортизаційні відрахування, які не є джерелом фінансування інвестиційної програми»</w:t>
      </w:r>
      <w:r w:rsidRPr="00722395">
        <w:rPr>
          <w:i/>
          <w:sz w:val="28"/>
          <w:szCs w:val="28"/>
          <w:lang w:val="uk-UA"/>
        </w:rPr>
        <w:t>:  «Капітальний ремонт парового котла №2 з заміною поверхонь нагріву»</w:t>
      </w:r>
      <w:r>
        <w:rPr>
          <w:i/>
          <w:sz w:val="28"/>
          <w:szCs w:val="28"/>
          <w:lang w:val="uk-UA"/>
        </w:rPr>
        <w:t>)</w:t>
      </w:r>
      <w:r w:rsidRPr="00722395">
        <w:rPr>
          <w:sz w:val="28"/>
          <w:szCs w:val="28"/>
          <w:lang w:val="uk-UA"/>
        </w:rPr>
        <w:t xml:space="preserve"> без зміни джерел фінансування, структури тарифу та загальної вартості ремонтної програми. </w:t>
      </w:r>
    </w:p>
    <w:p w:rsidR="00390D91" w:rsidRPr="00732130" w:rsidRDefault="00390D91" w:rsidP="00D50C9B">
      <w:pPr>
        <w:shd w:val="clear" w:color="auto" w:fill="FFFFFF"/>
        <w:spacing w:line="326" w:lineRule="exact"/>
        <w:ind w:firstLine="426"/>
        <w:jc w:val="both"/>
        <w:rPr>
          <w:sz w:val="28"/>
          <w:szCs w:val="28"/>
          <w:lang w:val="uk-UA"/>
        </w:rPr>
      </w:pPr>
      <w:r w:rsidRPr="00722395">
        <w:rPr>
          <w:sz w:val="28"/>
          <w:szCs w:val="28"/>
          <w:lang w:val="uk-UA"/>
        </w:rPr>
        <w:t xml:space="preserve">Поточний </w:t>
      </w:r>
      <w:r>
        <w:rPr>
          <w:sz w:val="28"/>
          <w:szCs w:val="28"/>
          <w:lang w:val="uk-UA"/>
        </w:rPr>
        <w:t xml:space="preserve">ремонт </w:t>
      </w:r>
      <w:r w:rsidRPr="00722395">
        <w:rPr>
          <w:sz w:val="28"/>
          <w:szCs w:val="28"/>
          <w:lang w:val="uk-UA"/>
        </w:rPr>
        <w:t>допоміжного обладнання КТЦ проводиться з 01.01.2019р. по 31</w:t>
      </w:r>
      <w:r>
        <w:rPr>
          <w:sz w:val="28"/>
          <w:szCs w:val="28"/>
          <w:lang w:val="uk-UA"/>
        </w:rPr>
        <w:t>.10.2019р.</w:t>
      </w:r>
    </w:p>
    <w:p w:rsidR="00390D91" w:rsidRDefault="00390D91" w:rsidP="00651E1C">
      <w:pPr>
        <w:shd w:val="clear" w:color="auto" w:fill="FFFFFF"/>
        <w:spacing w:line="326" w:lineRule="exact"/>
        <w:ind w:firstLine="426"/>
        <w:jc w:val="both"/>
        <w:rPr>
          <w:sz w:val="28"/>
          <w:szCs w:val="28"/>
          <w:lang w:val="uk-UA"/>
        </w:rPr>
      </w:pPr>
    </w:p>
    <w:p w:rsidR="00390D91" w:rsidRDefault="00390D91" w:rsidP="00651E1C">
      <w:pPr>
        <w:shd w:val="clear" w:color="auto" w:fill="FFFFFF"/>
        <w:spacing w:line="326" w:lineRule="exact"/>
        <w:ind w:firstLine="426"/>
        <w:jc w:val="both"/>
        <w:rPr>
          <w:sz w:val="28"/>
          <w:szCs w:val="28"/>
          <w:lang w:val="uk-UA"/>
        </w:rPr>
      </w:pPr>
    </w:p>
    <w:p w:rsidR="00390D91" w:rsidRPr="00722395" w:rsidRDefault="00390D91" w:rsidP="003B049E">
      <w:pPr>
        <w:shd w:val="clear" w:color="auto" w:fill="FFFFFF"/>
        <w:spacing w:line="326" w:lineRule="exact"/>
        <w:ind w:firstLine="426"/>
        <w:jc w:val="both"/>
        <w:rPr>
          <w:b/>
          <w:i/>
          <w:sz w:val="28"/>
          <w:szCs w:val="28"/>
          <w:lang w:val="uk-UA"/>
        </w:rPr>
      </w:pPr>
      <w:r w:rsidRPr="00722395">
        <w:rPr>
          <w:b/>
          <w:i/>
          <w:sz w:val="28"/>
          <w:szCs w:val="28"/>
          <w:lang w:val="uk-UA"/>
        </w:rPr>
        <w:t>Пункт II.2.8</w:t>
      </w:r>
      <w:r w:rsidRPr="00722395">
        <w:rPr>
          <w:b/>
          <w:sz w:val="28"/>
          <w:szCs w:val="28"/>
          <w:lang w:val="uk-UA"/>
        </w:rPr>
        <w:t xml:space="preserve"> «Амортизаційні відрахування, які не є джерелом фінансування інвестиційної програми»: </w:t>
      </w:r>
      <w:r w:rsidRPr="00722395">
        <w:rPr>
          <w:b/>
          <w:i/>
          <w:sz w:val="28"/>
          <w:szCs w:val="28"/>
          <w:lang w:val="uk-UA"/>
        </w:rPr>
        <w:t>«Ремонт ротора турбіни ТГ-3».</w:t>
      </w:r>
    </w:p>
    <w:p w:rsidR="00390D91" w:rsidRPr="00722395" w:rsidRDefault="00390D91" w:rsidP="003B049E">
      <w:pPr>
        <w:shd w:val="clear" w:color="auto" w:fill="FFFFFF"/>
        <w:spacing w:line="326" w:lineRule="exact"/>
        <w:ind w:firstLine="426"/>
        <w:jc w:val="both"/>
        <w:rPr>
          <w:i/>
          <w:sz w:val="28"/>
          <w:szCs w:val="28"/>
          <w:lang w:val="uk-UA"/>
        </w:rPr>
      </w:pPr>
    </w:p>
    <w:p w:rsidR="00390D91" w:rsidRDefault="00390D91" w:rsidP="003B049E">
      <w:pPr>
        <w:shd w:val="clear" w:color="auto" w:fill="FFFFFF"/>
        <w:spacing w:line="326" w:lineRule="exact"/>
        <w:ind w:firstLine="426"/>
        <w:jc w:val="both"/>
        <w:rPr>
          <w:sz w:val="28"/>
          <w:szCs w:val="28"/>
          <w:lang w:val="uk-UA"/>
        </w:rPr>
      </w:pPr>
      <w:r>
        <w:rPr>
          <w:spacing w:val="-2"/>
          <w:sz w:val="28"/>
          <w:szCs w:val="28"/>
          <w:lang w:val="uk-UA"/>
        </w:rPr>
        <w:t>П</w:t>
      </w:r>
      <w:r w:rsidRPr="00BB14EC">
        <w:rPr>
          <w:spacing w:val="-2"/>
          <w:sz w:val="28"/>
          <w:szCs w:val="28"/>
          <w:lang w:val="uk-UA"/>
        </w:rPr>
        <w:t>остановами НКРЕКП № 1692 від 10.12.2018р. та №591 від 22.04.2019р.</w:t>
      </w:r>
      <w:r w:rsidRPr="003B049E">
        <w:rPr>
          <w:sz w:val="28"/>
          <w:szCs w:val="28"/>
          <w:lang w:val="uk-UA"/>
        </w:rPr>
        <w:t xml:space="preserve"> для ремонту </w:t>
      </w:r>
      <w:r>
        <w:rPr>
          <w:sz w:val="28"/>
          <w:szCs w:val="28"/>
          <w:lang w:val="uk-UA"/>
        </w:rPr>
        <w:t xml:space="preserve">ротора турбіни ТГ-3 </w:t>
      </w:r>
      <w:r w:rsidRPr="003B049E">
        <w:rPr>
          <w:sz w:val="28"/>
          <w:szCs w:val="28"/>
          <w:lang w:val="uk-UA"/>
        </w:rPr>
        <w:t>було затверджено суму у розмірі 0,0  тис грн без ПДВ. (в т.ч. матеріалів –</w:t>
      </w:r>
      <w:r>
        <w:rPr>
          <w:sz w:val="28"/>
          <w:szCs w:val="28"/>
          <w:lang w:val="uk-UA"/>
        </w:rPr>
        <w:t xml:space="preserve"> </w:t>
      </w:r>
      <w:r w:rsidRPr="003B049E">
        <w:rPr>
          <w:sz w:val="28"/>
          <w:szCs w:val="28"/>
          <w:lang w:val="uk-UA"/>
        </w:rPr>
        <w:t>0,0 тис</w:t>
      </w:r>
      <w:r>
        <w:rPr>
          <w:sz w:val="28"/>
          <w:szCs w:val="28"/>
          <w:lang w:val="uk-UA"/>
        </w:rPr>
        <w:t>.</w:t>
      </w:r>
      <w:r w:rsidRPr="003B049E">
        <w:rPr>
          <w:sz w:val="28"/>
          <w:szCs w:val="28"/>
          <w:lang w:val="uk-UA"/>
        </w:rPr>
        <w:t xml:space="preserve"> </w:t>
      </w:r>
      <w:r>
        <w:rPr>
          <w:sz w:val="28"/>
          <w:szCs w:val="28"/>
          <w:lang w:val="uk-UA"/>
        </w:rPr>
        <w:t>грн..</w:t>
      </w:r>
      <w:r w:rsidRPr="003B049E">
        <w:rPr>
          <w:sz w:val="28"/>
          <w:szCs w:val="28"/>
          <w:lang w:val="uk-UA"/>
        </w:rPr>
        <w:t xml:space="preserve"> без ПДВ, робіт </w:t>
      </w:r>
      <w:r>
        <w:rPr>
          <w:sz w:val="28"/>
          <w:szCs w:val="28"/>
          <w:lang w:val="uk-UA"/>
        </w:rPr>
        <w:t xml:space="preserve">- 0,0 </w:t>
      </w:r>
      <w:r w:rsidRPr="003B049E">
        <w:rPr>
          <w:sz w:val="28"/>
          <w:szCs w:val="28"/>
          <w:lang w:val="uk-UA"/>
        </w:rPr>
        <w:t xml:space="preserve">тис. </w:t>
      </w:r>
      <w:r>
        <w:rPr>
          <w:sz w:val="28"/>
          <w:szCs w:val="28"/>
          <w:lang w:val="uk-UA"/>
        </w:rPr>
        <w:t>грн.</w:t>
      </w:r>
      <w:r w:rsidRPr="003B049E">
        <w:rPr>
          <w:sz w:val="28"/>
          <w:szCs w:val="28"/>
          <w:lang w:val="uk-UA"/>
        </w:rPr>
        <w:t xml:space="preserve"> без ПДВ).</w:t>
      </w:r>
    </w:p>
    <w:p w:rsidR="00390D91" w:rsidRPr="003B049E" w:rsidRDefault="00390D91" w:rsidP="003B049E">
      <w:pPr>
        <w:shd w:val="clear" w:color="auto" w:fill="FFFFFF"/>
        <w:spacing w:line="326" w:lineRule="exact"/>
        <w:ind w:firstLine="426"/>
        <w:jc w:val="both"/>
        <w:rPr>
          <w:sz w:val="28"/>
          <w:szCs w:val="28"/>
          <w:lang w:val="uk-UA"/>
        </w:rPr>
      </w:pPr>
      <w:r>
        <w:rPr>
          <w:sz w:val="28"/>
          <w:szCs w:val="28"/>
          <w:lang w:val="uk-UA"/>
        </w:rPr>
        <w:t>Під час минулого опалювального сезону турбогенератор №3 знаходився в експлуатації в умовах підвищеної вібрації з віброшвідкістю 8,5 мм/сек протягом тижня.</w:t>
      </w:r>
    </w:p>
    <w:p w:rsidR="00390D91" w:rsidRDefault="00390D91" w:rsidP="00C36D1F">
      <w:pPr>
        <w:shd w:val="clear" w:color="auto" w:fill="FFFFFF"/>
        <w:spacing w:line="326" w:lineRule="exact"/>
        <w:ind w:firstLine="426"/>
        <w:jc w:val="both"/>
        <w:rPr>
          <w:sz w:val="28"/>
          <w:szCs w:val="28"/>
          <w:lang w:val="uk-UA"/>
        </w:rPr>
      </w:pPr>
      <w:r>
        <w:rPr>
          <w:sz w:val="28"/>
          <w:szCs w:val="28"/>
          <w:lang w:val="uk-UA"/>
        </w:rPr>
        <w:t>П</w:t>
      </w:r>
      <w:r w:rsidRPr="00722395">
        <w:rPr>
          <w:sz w:val="28"/>
          <w:szCs w:val="28"/>
          <w:lang w:val="uk-UA"/>
        </w:rPr>
        <w:t>ри в</w:t>
      </w:r>
      <w:r>
        <w:rPr>
          <w:sz w:val="28"/>
          <w:szCs w:val="28"/>
          <w:lang w:val="uk-UA"/>
        </w:rPr>
        <w:t>и</w:t>
      </w:r>
      <w:r w:rsidRPr="00722395">
        <w:rPr>
          <w:sz w:val="28"/>
          <w:szCs w:val="28"/>
          <w:lang w:val="uk-UA"/>
        </w:rPr>
        <w:t>в</w:t>
      </w:r>
      <w:r>
        <w:rPr>
          <w:sz w:val="28"/>
          <w:szCs w:val="28"/>
          <w:lang w:val="uk-UA"/>
        </w:rPr>
        <w:t>еденні</w:t>
      </w:r>
      <w:r w:rsidRPr="00722395">
        <w:rPr>
          <w:sz w:val="28"/>
          <w:szCs w:val="28"/>
          <w:lang w:val="uk-UA"/>
        </w:rPr>
        <w:t xml:space="preserve"> в ремонт ТГ-3 </w:t>
      </w:r>
      <w:r>
        <w:rPr>
          <w:sz w:val="28"/>
          <w:szCs w:val="28"/>
          <w:lang w:val="uk-UA"/>
        </w:rPr>
        <w:t xml:space="preserve">в 2019 р. </w:t>
      </w:r>
      <w:r w:rsidRPr="00722395">
        <w:rPr>
          <w:sz w:val="28"/>
          <w:szCs w:val="28"/>
          <w:lang w:val="uk-UA"/>
        </w:rPr>
        <w:t>проведена дефектац</w:t>
      </w:r>
      <w:r>
        <w:rPr>
          <w:sz w:val="28"/>
          <w:szCs w:val="28"/>
          <w:lang w:val="uk-UA"/>
        </w:rPr>
        <w:t>і</w:t>
      </w:r>
      <w:r w:rsidRPr="00722395">
        <w:rPr>
          <w:sz w:val="28"/>
          <w:szCs w:val="28"/>
          <w:lang w:val="uk-UA"/>
        </w:rPr>
        <w:t>я турб</w:t>
      </w:r>
      <w:r>
        <w:rPr>
          <w:sz w:val="28"/>
          <w:szCs w:val="28"/>
          <w:lang w:val="uk-UA"/>
        </w:rPr>
        <w:t>і</w:t>
      </w:r>
      <w:r w:rsidRPr="00722395">
        <w:rPr>
          <w:sz w:val="28"/>
          <w:szCs w:val="28"/>
          <w:lang w:val="uk-UA"/>
        </w:rPr>
        <w:t>н</w:t>
      </w:r>
      <w:r>
        <w:rPr>
          <w:sz w:val="28"/>
          <w:szCs w:val="28"/>
          <w:lang w:val="uk-UA"/>
        </w:rPr>
        <w:t>и</w:t>
      </w:r>
      <w:r w:rsidRPr="00722395">
        <w:rPr>
          <w:sz w:val="28"/>
          <w:szCs w:val="28"/>
          <w:lang w:val="uk-UA"/>
        </w:rPr>
        <w:t>, в результат</w:t>
      </w:r>
      <w:r>
        <w:rPr>
          <w:sz w:val="28"/>
          <w:szCs w:val="28"/>
          <w:lang w:val="uk-UA"/>
        </w:rPr>
        <w:t>і</w:t>
      </w:r>
      <w:r w:rsidRPr="00722395">
        <w:rPr>
          <w:sz w:val="28"/>
          <w:szCs w:val="28"/>
          <w:lang w:val="uk-UA"/>
        </w:rPr>
        <w:t xml:space="preserve"> </w:t>
      </w:r>
      <w:r>
        <w:rPr>
          <w:sz w:val="28"/>
          <w:szCs w:val="28"/>
          <w:lang w:val="uk-UA"/>
        </w:rPr>
        <w:t>якої</w:t>
      </w:r>
      <w:r w:rsidRPr="00722395">
        <w:rPr>
          <w:sz w:val="28"/>
          <w:szCs w:val="28"/>
          <w:lang w:val="uk-UA"/>
        </w:rPr>
        <w:t xml:space="preserve"> </w:t>
      </w:r>
      <w:r>
        <w:rPr>
          <w:sz w:val="28"/>
          <w:szCs w:val="28"/>
          <w:lang w:val="uk-UA"/>
        </w:rPr>
        <w:t xml:space="preserve">виявлені значні </w:t>
      </w:r>
      <w:r w:rsidRPr="00722395">
        <w:rPr>
          <w:sz w:val="28"/>
          <w:szCs w:val="28"/>
          <w:lang w:val="uk-UA"/>
        </w:rPr>
        <w:t>дефект</w:t>
      </w:r>
      <w:r>
        <w:rPr>
          <w:sz w:val="28"/>
          <w:szCs w:val="28"/>
          <w:lang w:val="uk-UA"/>
        </w:rPr>
        <w:t>и, що</w:t>
      </w:r>
      <w:r w:rsidRPr="003B049E">
        <w:rPr>
          <w:sz w:val="28"/>
          <w:szCs w:val="28"/>
          <w:lang w:val="uk-UA"/>
        </w:rPr>
        <w:t xml:space="preserve"> потребують термінового виправлення та які не були враховані в обсягах робіт</w:t>
      </w:r>
      <w:r>
        <w:rPr>
          <w:sz w:val="28"/>
          <w:szCs w:val="28"/>
          <w:lang w:val="uk-UA"/>
        </w:rPr>
        <w:t xml:space="preserve"> на 2019 р.</w:t>
      </w:r>
      <w:r w:rsidRPr="003B049E">
        <w:rPr>
          <w:sz w:val="28"/>
          <w:szCs w:val="28"/>
          <w:lang w:val="uk-UA"/>
        </w:rPr>
        <w:t xml:space="preserve"> </w:t>
      </w:r>
    </w:p>
    <w:p w:rsidR="00390D91" w:rsidRDefault="00390D91" w:rsidP="00C36D1F">
      <w:pPr>
        <w:shd w:val="clear" w:color="auto" w:fill="FFFFFF"/>
        <w:spacing w:line="326" w:lineRule="exact"/>
        <w:ind w:firstLine="426"/>
        <w:jc w:val="both"/>
        <w:rPr>
          <w:sz w:val="28"/>
          <w:szCs w:val="28"/>
          <w:lang w:val="uk-UA"/>
        </w:rPr>
      </w:pPr>
      <w:r>
        <w:rPr>
          <w:sz w:val="28"/>
          <w:szCs w:val="28"/>
          <w:lang w:val="uk-UA"/>
        </w:rPr>
        <w:t>Так виявлені значні пошкодження поверхонь «шийок» опорних підшипників та упорного гребню упорного підшипника ротора парової турбіни, руйнування пружин обойм ущільнень та бабітового шару опорних підшипників.</w:t>
      </w:r>
    </w:p>
    <w:p w:rsidR="00390D91" w:rsidRDefault="00390D91" w:rsidP="00C36D1F">
      <w:pPr>
        <w:shd w:val="clear" w:color="auto" w:fill="FFFFFF"/>
        <w:spacing w:line="326" w:lineRule="exact"/>
        <w:ind w:firstLine="426"/>
        <w:jc w:val="both"/>
        <w:rPr>
          <w:sz w:val="28"/>
          <w:szCs w:val="28"/>
          <w:lang w:val="uk-UA"/>
        </w:rPr>
      </w:pPr>
      <w:r>
        <w:rPr>
          <w:sz w:val="28"/>
          <w:szCs w:val="28"/>
          <w:lang w:val="uk-UA"/>
        </w:rPr>
        <w:t>Технічний стан ротору парової турбіни не забезпечує надійної експлуатації та потребує ремонту в заводських умовах з проведенням балансування.</w:t>
      </w:r>
    </w:p>
    <w:p w:rsidR="00390D91" w:rsidRPr="00C36D1F" w:rsidRDefault="00390D91" w:rsidP="003B049E">
      <w:pPr>
        <w:shd w:val="clear" w:color="auto" w:fill="FFFFFF"/>
        <w:spacing w:line="326" w:lineRule="exact"/>
        <w:ind w:firstLine="426"/>
        <w:jc w:val="both"/>
        <w:rPr>
          <w:sz w:val="28"/>
          <w:szCs w:val="28"/>
          <w:lang w:val="uk-UA"/>
        </w:rPr>
      </w:pPr>
      <w:r w:rsidRPr="00C36D1F">
        <w:rPr>
          <w:sz w:val="28"/>
          <w:szCs w:val="28"/>
          <w:lang w:val="uk-UA"/>
        </w:rPr>
        <w:t>Вищенаведені дефекти можуть призвести до аварійних зупинок турбогенератору ТГ-3 підчас проходження опалювально-зимнього періоду 2019-2020</w:t>
      </w:r>
      <w:r>
        <w:rPr>
          <w:sz w:val="28"/>
          <w:szCs w:val="28"/>
          <w:lang w:val="uk-UA"/>
        </w:rPr>
        <w:t>рр., що</w:t>
      </w:r>
      <w:r w:rsidRPr="00C36D1F">
        <w:rPr>
          <w:sz w:val="28"/>
          <w:szCs w:val="28"/>
          <w:lang w:val="uk-UA"/>
        </w:rPr>
        <w:t xml:space="preserve"> в свою чергу, призведе до зриву </w:t>
      </w:r>
      <w:r>
        <w:rPr>
          <w:sz w:val="28"/>
          <w:szCs w:val="28"/>
          <w:lang w:val="uk-UA"/>
        </w:rPr>
        <w:t>теплопостачання м. Суми.</w:t>
      </w:r>
    </w:p>
    <w:p w:rsidR="00390D91" w:rsidRPr="00C36D1F" w:rsidRDefault="00390D91" w:rsidP="003B049E">
      <w:pPr>
        <w:shd w:val="clear" w:color="auto" w:fill="FFFFFF"/>
        <w:spacing w:line="326" w:lineRule="exact"/>
        <w:ind w:firstLine="426"/>
        <w:jc w:val="both"/>
        <w:rPr>
          <w:sz w:val="28"/>
          <w:szCs w:val="28"/>
          <w:lang w:val="uk-UA"/>
        </w:rPr>
      </w:pPr>
      <w:r w:rsidRPr="00C36D1F">
        <w:rPr>
          <w:sz w:val="28"/>
          <w:szCs w:val="28"/>
          <w:lang w:val="uk-UA"/>
        </w:rPr>
        <w:t>Для запобігання даної ситуації станцією було визначено чіткий  об’єм робіт з ремонту ротора турбіни ТГ-3, що необхідно буде виконати під час ремонту турбогенератора.</w:t>
      </w:r>
    </w:p>
    <w:p w:rsidR="00390D91" w:rsidRPr="00C36D1F" w:rsidRDefault="00390D91" w:rsidP="003B049E">
      <w:pPr>
        <w:shd w:val="clear" w:color="auto" w:fill="FFFFFF"/>
        <w:spacing w:line="326" w:lineRule="exact"/>
        <w:ind w:firstLine="426"/>
        <w:jc w:val="both"/>
        <w:rPr>
          <w:sz w:val="28"/>
          <w:szCs w:val="28"/>
          <w:lang w:val="uk-UA"/>
        </w:rPr>
      </w:pPr>
      <w:r w:rsidRPr="00C36D1F">
        <w:rPr>
          <w:sz w:val="28"/>
          <w:szCs w:val="28"/>
          <w:lang w:val="uk-UA"/>
        </w:rPr>
        <w:t xml:space="preserve">Після опрацювання вартості матеріалів та об’єму робіт загальна вартість  витрат для проведення ремонту ротора турбіни ТГ-3 склала – 187,2 тис.грн. без ПДВ, в тому числі вартість матеріалів – 51,9 тис. грн без ПДВ, вартість робіт склала – 135,3 тис. грн. без ПДВ. </w:t>
      </w:r>
    </w:p>
    <w:p w:rsidR="00390D91" w:rsidRPr="003B049E" w:rsidRDefault="00390D91" w:rsidP="007B46D3">
      <w:pPr>
        <w:shd w:val="clear" w:color="auto" w:fill="FFFFFF"/>
        <w:spacing w:line="326" w:lineRule="exact"/>
        <w:ind w:firstLine="426"/>
        <w:jc w:val="both"/>
        <w:rPr>
          <w:sz w:val="28"/>
          <w:szCs w:val="28"/>
          <w:lang w:val="uk-UA"/>
        </w:rPr>
      </w:pPr>
      <w:r w:rsidRPr="00C36D1F">
        <w:rPr>
          <w:sz w:val="28"/>
          <w:szCs w:val="28"/>
          <w:lang w:val="uk-UA"/>
        </w:rPr>
        <w:t xml:space="preserve">Додаткове фінансування </w:t>
      </w:r>
      <w:r>
        <w:rPr>
          <w:sz w:val="28"/>
          <w:szCs w:val="28"/>
          <w:lang w:val="uk-UA"/>
        </w:rPr>
        <w:t>Сумська ТЕЦ</w:t>
      </w:r>
      <w:r w:rsidRPr="00C36D1F">
        <w:rPr>
          <w:sz w:val="28"/>
          <w:szCs w:val="28"/>
          <w:lang w:val="uk-UA"/>
        </w:rPr>
        <w:t xml:space="preserve"> пропонує виконати за рахунок зекономлених коштів на інших статтях ремонтної програми (Пункт II.2.1«Амортизаційні відрахування, які не є джерелом фінансування інвестиційної програми»:  «Капітальний ремонт парового котла №2 з заміною поверхонь нагріву») без зміни джерел фінансування, структури тарифу та загальної вартості ремонтної програми.</w:t>
      </w:r>
    </w:p>
    <w:p w:rsidR="00390D91" w:rsidRDefault="00390D91" w:rsidP="003B049E">
      <w:pPr>
        <w:shd w:val="clear" w:color="auto" w:fill="FFFFFF"/>
        <w:spacing w:line="326" w:lineRule="exact"/>
        <w:ind w:firstLine="426"/>
        <w:jc w:val="both"/>
        <w:rPr>
          <w:sz w:val="28"/>
          <w:szCs w:val="28"/>
          <w:lang w:val="uk-UA"/>
        </w:rPr>
      </w:pPr>
    </w:p>
    <w:p w:rsidR="00390D91" w:rsidRDefault="00390D91" w:rsidP="003B049E">
      <w:pPr>
        <w:shd w:val="clear" w:color="auto" w:fill="FFFFFF"/>
        <w:spacing w:line="326" w:lineRule="exact"/>
        <w:ind w:firstLine="426"/>
        <w:jc w:val="both"/>
        <w:rPr>
          <w:sz w:val="28"/>
          <w:szCs w:val="28"/>
          <w:lang w:val="uk-UA"/>
        </w:rPr>
      </w:pPr>
    </w:p>
    <w:p w:rsidR="00390D91" w:rsidRDefault="00390D91" w:rsidP="003B049E">
      <w:pPr>
        <w:shd w:val="clear" w:color="auto" w:fill="FFFFFF"/>
        <w:spacing w:line="326" w:lineRule="exact"/>
        <w:ind w:firstLine="426"/>
        <w:jc w:val="both"/>
        <w:rPr>
          <w:sz w:val="28"/>
          <w:szCs w:val="28"/>
          <w:lang w:val="uk-UA"/>
        </w:rPr>
      </w:pPr>
    </w:p>
    <w:p w:rsidR="00390D91" w:rsidRDefault="00390D91" w:rsidP="003B049E">
      <w:pPr>
        <w:shd w:val="clear" w:color="auto" w:fill="FFFFFF"/>
        <w:spacing w:line="326" w:lineRule="exact"/>
        <w:ind w:firstLine="426"/>
        <w:jc w:val="both"/>
        <w:rPr>
          <w:sz w:val="28"/>
          <w:szCs w:val="28"/>
          <w:lang w:val="uk-UA"/>
        </w:rPr>
      </w:pPr>
    </w:p>
    <w:p w:rsidR="00390D91" w:rsidRPr="003B049E" w:rsidRDefault="00390D91" w:rsidP="003B049E">
      <w:pPr>
        <w:shd w:val="clear" w:color="auto" w:fill="FFFFFF"/>
        <w:spacing w:line="326" w:lineRule="exact"/>
        <w:ind w:firstLine="426"/>
        <w:jc w:val="both"/>
        <w:rPr>
          <w:sz w:val="28"/>
          <w:szCs w:val="28"/>
          <w:lang w:val="uk-UA"/>
        </w:rPr>
      </w:pPr>
    </w:p>
    <w:p w:rsidR="00390D91" w:rsidRDefault="00390D91" w:rsidP="003B049E">
      <w:pPr>
        <w:shd w:val="clear" w:color="auto" w:fill="FFFFFF"/>
        <w:spacing w:line="326" w:lineRule="exact"/>
        <w:ind w:firstLine="426"/>
        <w:jc w:val="both"/>
        <w:rPr>
          <w:b/>
          <w:i/>
          <w:sz w:val="28"/>
          <w:szCs w:val="28"/>
          <w:lang w:val="uk-UA"/>
        </w:rPr>
      </w:pPr>
      <w:r w:rsidRPr="00C36D1F">
        <w:rPr>
          <w:b/>
          <w:i/>
          <w:sz w:val="28"/>
          <w:szCs w:val="28"/>
          <w:lang w:val="uk-UA"/>
        </w:rPr>
        <w:t>Пункт II.2.9</w:t>
      </w:r>
      <w:r w:rsidRPr="00C36D1F">
        <w:rPr>
          <w:b/>
          <w:sz w:val="28"/>
          <w:szCs w:val="28"/>
          <w:lang w:val="uk-UA"/>
        </w:rPr>
        <w:t xml:space="preserve"> «Амортизаційні відрахування, які не є джерелом фінансування інвестиційної програми»: </w:t>
      </w:r>
      <w:r w:rsidRPr="00C36D1F">
        <w:rPr>
          <w:b/>
          <w:i/>
          <w:sz w:val="28"/>
          <w:szCs w:val="28"/>
          <w:lang w:val="uk-UA"/>
        </w:rPr>
        <w:t>«Вигот</w:t>
      </w:r>
      <w:r>
        <w:rPr>
          <w:b/>
          <w:i/>
          <w:sz w:val="28"/>
          <w:szCs w:val="28"/>
          <w:lang w:val="uk-UA"/>
        </w:rPr>
        <w:t>овлення та монтаж майданчиків</w:t>
      </w:r>
      <w:r w:rsidRPr="00C36D1F">
        <w:rPr>
          <w:b/>
          <w:i/>
          <w:sz w:val="28"/>
          <w:szCs w:val="28"/>
          <w:lang w:val="uk-UA"/>
        </w:rPr>
        <w:t xml:space="preserve"> обслуговування циклона та сепаратора ПК-1»</w:t>
      </w:r>
    </w:p>
    <w:p w:rsidR="00390D91" w:rsidRPr="00C36D1F" w:rsidRDefault="00390D91" w:rsidP="003B049E">
      <w:pPr>
        <w:shd w:val="clear" w:color="auto" w:fill="FFFFFF"/>
        <w:spacing w:line="326" w:lineRule="exact"/>
        <w:ind w:firstLine="426"/>
        <w:jc w:val="both"/>
        <w:rPr>
          <w:b/>
          <w:sz w:val="28"/>
          <w:szCs w:val="28"/>
          <w:lang w:val="uk-UA"/>
        </w:rPr>
      </w:pPr>
    </w:p>
    <w:p w:rsidR="00390D91" w:rsidRDefault="00390D91" w:rsidP="003B049E">
      <w:pPr>
        <w:shd w:val="clear" w:color="auto" w:fill="FFFFFF"/>
        <w:spacing w:line="326" w:lineRule="exact"/>
        <w:ind w:firstLine="426"/>
        <w:jc w:val="both"/>
        <w:rPr>
          <w:sz w:val="28"/>
          <w:szCs w:val="28"/>
          <w:lang w:val="uk-UA"/>
        </w:rPr>
      </w:pPr>
      <w:r>
        <w:rPr>
          <w:spacing w:val="-2"/>
          <w:sz w:val="28"/>
          <w:szCs w:val="28"/>
          <w:lang w:val="uk-UA"/>
        </w:rPr>
        <w:t>П</w:t>
      </w:r>
      <w:r w:rsidRPr="00BB14EC">
        <w:rPr>
          <w:spacing w:val="-2"/>
          <w:sz w:val="28"/>
          <w:szCs w:val="28"/>
          <w:lang w:val="uk-UA"/>
        </w:rPr>
        <w:t>остановами НКРЕКП № 1692 від 10.12.2018р. та №591 від 22.04.2019р.</w:t>
      </w:r>
      <w:r w:rsidRPr="00DE05A0">
        <w:rPr>
          <w:sz w:val="28"/>
          <w:szCs w:val="28"/>
          <w:lang w:val="uk-UA"/>
        </w:rPr>
        <w:t xml:space="preserve">  на виготовлення та монтаж площадок обслуговування циклона та сепаратора ПК-1 було затверджено суму у розмірі 0,0  тис. грн. без ПДВ (в т.ч. матеріалів – 0,0 тис. грн. без ПДВ, робіт - 0,0 тис. грн. без ПДВ).</w:t>
      </w:r>
    </w:p>
    <w:p w:rsidR="00390D91" w:rsidRPr="00225D6F" w:rsidRDefault="00390D91" w:rsidP="00225D6F">
      <w:pPr>
        <w:shd w:val="clear" w:color="auto" w:fill="FFFFFF"/>
        <w:spacing w:line="326" w:lineRule="exact"/>
        <w:ind w:firstLine="426"/>
        <w:jc w:val="both"/>
        <w:rPr>
          <w:sz w:val="28"/>
          <w:szCs w:val="28"/>
          <w:lang w:val="uk-UA"/>
        </w:rPr>
      </w:pPr>
      <w:r w:rsidRPr="00225D6F">
        <w:rPr>
          <w:sz w:val="28"/>
          <w:szCs w:val="28"/>
          <w:lang w:val="uk-UA"/>
        </w:rPr>
        <w:t xml:space="preserve">Роботи з відновлення роботи котлоагрегату ст. №1 Сумської ТЕЦ на вугіллі виконано згідно проекту розробленого ХЦКБ «Енергопрогрес» ТОВ «Котлотурбопром». </w:t>
      </w:r>
    </w:p>
    <w:p w:rsidR="00390D91" w:rsidRPr="00225D6F" w:rsidRDefault="00390D91" w:rsidP="00225D6F">
      <w:pPr>
        <w:shd w:val="clear" w:color="auto" w:fill="FFFFFF"/>
        <w:spacing w:line="326" w:lineRule="exact"/>
        <w:ind w:firstLine="426"/>
        <w:jc w:val="both"/>
        <w:rPr>
          <w:sz w:val="28"/>
          <w:szCs w:val="28"/>
          <w:lang w:val="uk-UA"/>
        </w:rPr>
      </w:pPr>
      <w:r w:rsidRPr="00225D6F">
        <w:rPr>
          <w:sz w:val="28"/>
          <w:szCs w:val="28"/>
          <w:lang w:val="uk-UA"/>
        </w:rPr>
        <w:t xml:space="preserve">Перед початком вказаного будівництва, було отримано дозвіл на виконання будівельних робіт №ІУ 113173351678 від 01 грудня 2017 року. </w:t>
      </w:r>
    </w:p>
    <w:p w:rsidR="00390D91" w:rsidRPr="00225D6F" w:rsidRDefault="00390D91" w:rsidP="00225D6F">
      <w:pPr>
        <w:shd w:val="clear" w:color="auto" w:fill="FFFFFF"/>
        <w:spacing w:line="326" w:lineRule="exact"/>
        <w:ind w:firstLine="426"/>
        <w:jc w:val="both"/>
        <w:rPr>
          <w:sz w:val="28"/>
          <w:szCs w:val="28"/>
          <w:lang w:val="uk-UA"/>
        </w:rPr>
      </w:pPr>
      <w:r w:rsidRPr="00225D6F">
        <w:rPr>
          <w:sz w:val="28"/>
          <w:szCs w:val="28"/>
          <w:lang w:val="uk-UA"/>
        </w:rPr>
        <w:t>Основні будівельно-монтажні роботи виконано в 2017-2018 роках.</w:t>
      </w:r>
    </w:p>
    <w:p w:rsidR="00390D91" w:rsidRPr="00225D6F" w:rsidRDefault="00390D91" w:rsidP="00225D6F">
      <w:pPr>
        <w:shd w:val="clear" w:color="auto" w:fill="FFFFFF"/>
        <w:spacing w:line="326" w:lineRule="exact"/>
        <w:ind w:firstLine="426"/>
        <w:jc w:val="both"/>
        <w:rPr>
          <w:sz w:val="28"/>
          <w:szCs w:val="28"/>
          <w:lang w:val="uk-UA"/>
        </w:rPr>
      </w:pPr>
      <w:r w:rsidRPr="00225D6F">
        <w:rPr>
          <w:sz w:val="28"/>
          <w:szCs w:val="28"/>
          <w:lang w:val="uk-UA"/>
        </w:rPr>
        <w:t>В процесі проведення авторського нагляду ХЦКБ «Енергопрогрес» ТОВ «Котлотурбопром», після закінчення виконання робіт, б</w:t>
      </w:r>
      <w:r>
        <w:rPr>
          <w:sz w:val="28"/>
          <w:szCs w:val="28"/>
          <w:lang w:val="uk-UA"/>
        </w:rPr>
        <w:t>ули зроблені зауваження щодо не</w:t>
      </w:r>
      <w:r w:rsidRPr="00225D6F">
        <w:rPr>
          <w:sz w:val="28"/>
          <w:szCs w:val="28"/>
          <w:lang w:val="uk-UA"/>
        </w:rPr>
        <w:t>повного виконання проектних рішень, які за винятком монтажу майданчиків обслуговування циклону та сепаратору були потім усунуті.</w:t>
      </w:r>
    </w:p>
    <w:p w:rsidR="00390D91" w:rsidRPr="00225D6F" w:rsidRDefault="00390D91" w:rsidP="00225D6F">
      <w:pPr>
        <w:shd w:val="clear" w:color="auto" w:fill="FFFFFF"/>
        <w:spacing w:line="326" w:lineRule="exact"/>
        <w:ind w:firstLine="426"/>
        <w:jc w:val="both"/>
        <w:rPr>
          <w:sz w:val="28"/>
          <w:szCs w:val="28"/>
          <w:lang w:val="uk-UA"/>
        </w:rPr>
      </w:pPr>
      <w:r w:rsidRPr="00225D6F">
        <w:rPr>
          <w:sz w:val="28"/>
          <w:szCs w:val="28"/>
          <w:lang w:val="uk-UA"/>
        </w:rPr>
        <w:t>Виконання робіт по монтажу майданчиків обслуговування циклону та сепаратору виконати на той час було неможливо (роботи на висоті, на відкритому просторі в зимовий період).</w:t>
      </w:r>
    </w:p>
    <w:p w:rsidR="00390D91" w:rsidRPr="00225D6F" w:rsidRDefault="00390D91" w:rsidP="00225D6F">
      <w:pPr>
        <w:shd w:val="clear" w:color="auto" w:fill="FFFFFF"/>
        <w:spacing w:line="326" w:lineRule="exact"/>
        <w:ind w:firstLine="426"/>
        <w:jc w:val="both"/>
        <w:rPr>
          <w:sz w:val="28"/>
          <w:szCs w:val="28"/>
          <w:lang w:val="uk-UA"/>
        </w:rPr>
      </w:pPr>
      <w:r w:rsidRPr="00225D6F">
        <w:rPr>
          <w:sz w:val="28"/>
          <w:szCs w:val="28"/>
          <w:lang w:val="uk-UA"/>
        </w:rPr>
        <w:t xml:space="preserve">В зв’язку з необхідністю прийняття в експлуатацію вказаного об’єкту органами ДАБК та отримання сертифікату про його готовність, необхідно усунути всі зауваження. </w:t>
      </w:r>
    </w:p>
    <w:p w:rsidR="00390D91" w:rsidRPr="00225D6F" w:rsidRDefault="00390D91" w:rsidP="00225D6F">
      <w:pPr>
        <w:shd w:val="clear" w:color="auto" w:fill="FFFFFF"/>
        <w:spacing w:line="326" w:lineRule="exact"/>
        <w:ind w:firstLine="426"/>
        <w:jc w:val="both"/>
        <w:rPr>
          <w:sz w:val="28"/>
          <w:szCs w:val="28"/>
          <w:lang w:val="uk-UA"/>
        </w:rPr>
      </w:pPr>
      <w:r w:rsidRPr="00225D6F">
        <w:rPr>
          <w:sz w:val="28"/>
          <w:szCs w:val="28"/>
          <w:lang w:val="uk-UA"/>
        </w:rPr>
        <w:t>Підставою про відмову у видачі сертифікату готовності об’єкту до експлуатації, згідно Постанови Кабінету Міністрів України від 13 квітня 2011 року №461 «Порядок прийняття в експлуатацію закінчених будівництвом об’єктів», може бути невідповідність об’єкту проектній документації на будівництво.</w:t>
      </w:r>
    </w:p>
    <w:p w:rsidR="00390D91" w:rsidRDefault="00390D91" w:rsidP="00225D6F">
      <w:pPr>
        <w:shd w:val="clear" w:color="auto" w:fill="FFFFFF"/>
        <w:spacing w:line="326" w:lineRule="exact"/>
        <w:ind w:firstLine="426"/>
        <w:jc w:val="both"/>
        <w:rPr>
          <w:sz w:val="28"/>
          <w:szCs w:val="28"/>
          <w:lang w:val="uk-UA"/>
        </w:rPr>
      </w:pPr>
      <w:r w:rsidRPr="00225D6F">
        <w:rPr>
          <w:sz w:val="28"/>
          <w:szCs w:val="28"/>
          <w:lang w:val="uk-UA"/>
        </w:rPr>
        <w:t xml:space="preserve">Таким чином, з метою отримання сертифікату про готовність вказаного об’єкту до експлуатації, треба негайно виконати роботи по монтажу майданчиків обслуговування циклону та сепаратору. </w:t>
      </w:r>
    </w:p>
    <w:p w:rsidR="00390D91" w:rsidRPr="003B049E" w:rsidRDefault="00390D91" w:rsidP="003B049E">
      <w:pPr>
        <w:shd w:val="clear" w:color="auto" w:fill="FFFFFF"/>
        <w:spacing w:line="326" w:lineRule="exact"/>
        <w:ind w:firstLine="426"/>
        <w:jc w:val="both"/>
        <w:rPr>
          <w:sz w:val="28"/>
          <w:szCs w:val="28"/>
          <w:lang w:val="uk-UA"/>
        </w:rPr>
      </w:pPr>
      <w:r w:rsidRPr="003B049E">
        <w:rPr>
          <w:sz w:val="28"/>
          <w:szCs w:val="28"/>
          <w:lang w:val="uk-UA"/>
        </w:rPr>
        <w:t>Після опрацювання вартості матеріалів та об’єму робіт</w:t>
      </w:r>
      <w:r>
        <w:rPr>
          <w:sz w:val="28"/>
          <w:szCs w:val="28"/>
          <w:lang w:val="uk-UA"/>
        </w:rPr>
        <w:t xml:space="preserve"> для в</w:t>
      </w:r>
      <w:r w:rsidRPr="00DE05A0">
        <w:rPr>
          <w:sz w:val="28"/>
          <w:szCs w:val="28"/>
          <w:lang w:val="uk-UA"/>
        </w:rPr>
        <w:t>иготовлення та монтаж</w:t>
      </w:r>
      <w:r>
        <w:rPr>
          <w:sz w:val="28"/>
          <w:szCs w:val="28"/>
          <w:lang w:val="uk-UA"/>
        </w:rPr>
        <w:t>у майданчиків</w:t>
      </w:r>
      <w:r w:rsidRPr="00DE05A0">
        <w:rPr>
          <w:sz w:val="28"/>
          <w:szCs w:val="28"/>
          <w:lang w:val="uk-UA"/>
        </w:rPr>
        <w:t xml:space="preserve"> обслуговування циклона та сепаратора ПК-1</w:t>
      </w:r>
      <w:r w:rsidRPr="003B049E">
        <w:rPr>
          <w:sz w:val="28"/>
          <w:szCs w:val="28"/>
          <w:lang w:val="uk-UA"/>
        </w:rPr>
        <w:t xml:space="preserve">, загальна вартість матеріалів </w:t>
      </w:r>
      <w:r>
        <w:rPr>
          <w:sz w:val="28"/>
          <w:szCs w:val="28"/>
          <w:lang w:val="uk-UA"/>
        </w:rPr>
        <w:t xml:space="preserve">(виключаючи матеріали, які є в наявності на складі) </w:t>
      </w:r>
      <w:r w:rsidRPr="003B049E">
        <w:rPr>
          <w:sz w:val="28"/>
          <w:szCs w:val="28"/>
          <w:lang w:val="uk-UA"/>
        </w:rPr>
        <w:t xml:space="preserve">склала – </w:t>
      </w:r>
      <w:r>
        <w:rPr>
          <w:sz w:val="28"/>
          <w:szCs w:val="28"/>
          <w:lang w:val="uk-UA"/>
        </w:rPr>
        <w:t>14,0</w:t>
      </w:r>
      <w:r w:rsidRPr="003B049E">
        <w:rPr>
          <w:sz w:val="28"/>
          <w:szCs w:val="28"/>
          <w:lang w:val="uk-UA"/>
        </w:rPr>
        <w:t xml:space="preserve"> тис. </w:t>
      </w:r>
      <w:r>
        <w:rPr>
          <w:sz w:val="28"/>
          <w:szCs w:val="28"/>
          <w:lang w:val="uk-UA"/>
        </w:rPr>
        <w:t>грн.</w:t>
      </w:r>
      <w:r w:rsidRPr="003B049E">
        <w:rPr>
          <w:sz w:val="28"/>
          <w:szCs w:val="28"/>
          <w:lang w:val="uk-UA"/>
        </w:rPr>
        <w:t xml:space="preserve"> без ПДВ, загальна вартість робіт склала – </w:t>
      </w:r>
      <w:r>
        <w:rPr>
          <w:sz w:val="28"/>
          <w:szCs w:val="28"/>
          <w:lang w:val="uk-UA"/>
        </w:rPr>
        <w:t>99,4</w:t>
      </w:r>
      <w:r w:rsidRPr="003B049E">
        <w:rPr>
          <w:sz w:val="28"/>
          <w:szCs w:val="28"/>
          <w:lang w:val="uk-UA"/>
        </w:rPr>
        <w:t xml:space="preserve"> тис. </w:t>
      </w:r>
      <w:r>
        <w:rPr>
          <w:sz w:val="28"/>
          <w:szCs w:val="28"/>
          <w:lang w:val="uk-UA"/>
        </w:rPr>
        <w:t>грн.</w:t>
      </w:r>
      <w:r w:rsidRPr="003B049E">
        <w:rPr>
          <w:sz w:val="28"/>
          <w:szCs w:val="28"/>
          <w:lang w:val="uk-UA"/>
        </w:rPr>
        <w:t xml:space="preserve"> без ПДВ. </w:t>
      </w:r>
    </w:p>
    <w:p w:rsidR="00390D91" w:rsidRPr="003B049E" w:rsidRDefault="00390D91" w:rsidP="003B049E">
      <w:pPr>
        <w:shd w:val="clear" w:color="auto" w:fill="FFFFFF"/>
        <w:spacing w:line="326" w:lineRule="exact"/>
        <w:ind w:firstLine="426"/>
        <w:jc w:val="both"/>
        <w:rPr>
          <w:sz w:val="28"/>
          <w:szCs w:val="28"/>
          <w:lang w:val="uk-UA"/>
        </w:rPr>
      </w:pPr>
      <w:r>
        <w:rPr>
          <w:sz w:val="28"/>
          <w:szCs w:val="28"/>
          <w:lang w:val="uk-UA"/>
        </w:rPr>
        <w:t>Виготовлення та монтаж майданчиків</w:t>
      </w:r>
      <w:r w:rsidRPr="00DE05A0">
        <w:rPr>
          <w:sz w:val="28"/>
          <w:szCs w:val="28"/>
          <w:lang w:val="uk-UA"/>
        </w:rPr>
        <w:t xml:space="preserve"> обслуговування циклона та сепаратора</w:t>
      </w:r>
      <w:r>
        <w:rPr>
          <w:sz w:val="28"/>
          <w:szCs w:val="28"/>
          <w:lang w:val="uk-UA"/>
        </w:rPr>
        <w:t xml:space="preserve">            </w:t>
      </w:r>
      <w:r w:rsidRPr="00DE05A0">
        <w:rPr>
          <w:sz w:val="28"/>
          <w:szCs w:val="28"/>
          <w:lang w:val="uk-UA"/>
        </w:rPr>
        <w:t xml:space="preserve"> ПК-1 </w:t>
      </w:r>
      <w:r w:rsidRPr="003B049E">
        <w:rPr>
          <w:sz w:val="28"/>
          <w:szCs w:val="28"/>
          <w:lang w:val="uk-UA"/>
        </w:rPr>
        <w:t xml:space="preserve">планується проводити з 15.07.2019 р. по 10.10.2019р. </w:t>
      </w:r>
    </w:p>
    <w:p w:rsidR="00390D91" w:rsidRDefault="00390D91" w:rsidP="003B049E">
      <w:pPr>
        <w:shd w:val="clear" w:color="auto" w:fill="FFFFFF"/>
        <w:spacing w:line="326" w:lineRule="exact"/>
        <w:ind w:firstLine="426"/>
        <w:jc w:val="both"/>
        <w:rPr>
          <w:sz w:val="28"/>
          <w:szCs w:val="28"/>
          <w:lang w:val="uk-UA"/>
        </w:rPr>
      </w:pPr>
      <w:r w:rsidRPr="003B049E">
        <w:rPr>
          <w:sz w:val="28"/>
          <w:szCs w:val="28"/>
          <w:lang w:val="uk-UA"/>
        </w:rPr>
        <w:t>Додаткове фінансування станція пропонує виконати за рахунок зекономлених коштів на інших статтях ремонтної програми (Пункт II.2.1«Амортизаційні відрахування, які не є джерелом фінансування інвестиційної програми»:  «Капітальний ремонт парового котла №2 з заміною поверхонь нагріву») без зміни джерел фінансування, структури тарифу та загальної вартості ремонтної програми.</w:t>
      </w:r>
    </w:p>
    <w:p w:rsidR="00390D91" w:rsidRDefault="00390D91" w:rsidP="003B049E">
      <w:pPr>
        <w:shd w:val="clear" w:color="auto" w:fill="FFFFFF"/>
        <w:spacing w:line="326" w:lineRule="exact"/>
        <w:ind w:firstLine="426"/>
        <w:jc w:val="both"/>
        <w:rPr>
          <w:sz w:val="28"/>
          <w:szCs w:val="28"/>
          <w:lang w:val="uk-UA"/>
        </w:rPr>
      </w:pPr>
    </w:p>
    <w:p w:rsidR="00390D91" w:rsidRDefault="00390D91" w:rsidP="003B049E">
      <w:pPr>
        <w:shd w:val="clear" w:color="auto" w:fill="FFFFFF"/>
        <w:spacing w:line="326" w:lineRule="exact"/>
        <w:ind w:firstLine="426"/>
        <w:jc w:val="both"/>
        <w:rPr>
          <w:sz w:val="28"/>
          <w:szCs w:val="28"/>
          <w:lang w:val="uk-UA"/>
        </w:rPr>
      </w:pPr>
    </w:p>
    <w:p w:rsidR="00390D91" w:rsidRDefault="00390D91" w:rsidP="003B049E">
      <w:pPr>
        <w:shd w:val="clear" w:color="auto" w:fill="FFFFFF"/>
        <w:spacing w:line="326" w:lineRule="exact"/>
        <w:ind w:firstLine="426"/>
        <w:jc w:val="both"/>
        <w:rPr>
          <w:sz w:val="28"/>
          <w:szCs w:val="28"/>
          <w:lang w:val="uk-UA"/>
        </w:rPr>
      </w:pPr>
    </w:p>
    <w:p w:rsidR="00390D91" w:rsidRPr="00722395" w:rsidRDefault="00390D91" w:rsidP="00DD39A7">
      <w:pPr>
        <w:shd w:val="clear" w:color="auto" w:fill="FFFFFF"/>
        <w:spacing w:line="326" w:lineRule="exact"/>
        <w:ind w:firstLine="426"/>
        <w:jc w:val="both"/>
        <w:rPr>
          <w:b/>
          <w:i/>
          <w:sz w:val="28"/>
          <w:szCs w:val="28"/>
          <w:lang w:val="uk-UA"/>
        </w:rPr>
      </w:pPr>
      <w:r w:rsidRPr="00722395">
        <w:rPr>
          <w:b/>
          <w:i/>
          <w:sz w:val="28"/>
          <w:szCs w:val="28"/>
          <w:lang w:val="uk-UA"/>
        </w:rPr>
        <w:t>Пункт II.2.1</w:t>
      </w:r>
      <w:r w:rsidRPr="00722395">
        <w:rPr>
          <w:b/>
          <w:sz w:val="28"/>
          <w:szCs w:val="28"/>
          <w:lang w:val="uk-UA"/>
        </w:rPr>
        <w:t xml:space="preserve"> «Амортизаційні відрахування, які не є джерелом фінансування інвестиційної програми»: </w:t>
      </w:r>
      <w:r w:rsidRPr="00722395">
        <w:rPr>
          <w:b/>
          <w:i/>
          <w:sz w:val="28"/>
          <w:szCs w:val="28"/>
          <w:lang w:val="uk-UA"/>
        </w:rPr>
        <w:t>«Капітальний ремонт парового котла №2 з заміною поверхонь нагріву»</w:t>
      </w:r>
    </w:p>
    <w:p w:rsidR="00390D91" w:rsidRPr="00152300" w:rsidRDefault="00390D91" w:rsidP="00DD39A7">
      <w:pPr>
        <w:shd w:val="clear" w:color="auto" w:fill="FFFFFF"/>
        <w:spacing w:line="326" w:lineRule="exact"/>
        <w:ind w:firstLine="426"/>
        <w:jc w:val="both"/>
        <w:rPr>
          <w:sz w:val="28"/>
          <w:szCs w:val="28"/>
          <w:lang w:val="uk-UA"/>
        </w:rPr>
      </w:pPr>
    </w:p>
    <w:p w:rsidR="00390D91" w:rsidRPr="00152300" w:rsidRDefault="00390D91" w:rsidP="00DD39A7">
      <w:pPr>
        <w:shd w:val="clear" w:color="auto" w:fill="FFFFFF"/>
        <w:spacing w:line="326" w:lineRule="exact"/>
        <w:ind w:firstLine="426"/>
        <w:jc w:val="both"/>
        <w:rPr>
          <w:sz w:val="28"/>
          <w:szCs w:val="28"/>
          <w:lang w:val="uk-UA"/>
        </w:rPr>
      </w:pPr>
      <w:r>
        <w:rPr>
          <w:spacing w:val="-2"/>
          <w:sz w:val="28"/>
          <w:szCs w:val="28"/>
          <w:lang w:val="uk-UA"/>
        </w:rPr>
        <w:t>П</w:t>
      </w:r>
      <w:r w:rsidRPr="00BB14EC">
        <w:rPr>
          <w:spacing w:val="-2"/>
          <w:sz w:val="28"/>
          <w:szCs w:val="28"/>
          <w:lang w:val="uk-UA"/>
        </w:rPr>
        <w:t>остановами НКРЕКП № 1692 від 10.12.2018р. та №591 від 22.04.2019р.</w:t>
      </w:r>
      <w:r w:rsidRPr="00152300">
        <w:rPr>
          <w:sz w:val="28"/>
          <w:szCs w:val="28"/>
          <w:lang w:val="uk-UA"/>
        </w:rPr>
        <w:t xml:space="preserve"> для</w:t>
      </w:r>
      <w:r>
        <w:rPr>
          <w:sz w:val="28"/>
          <w:szCs w:val="28"/>
          <w:lang w:val="uk-UA"/>
        </w:rPr>
        <w:t xml:space="preserve"> виконання</w:t>
      </w:r>
      <w:r w:rsidRPr="00152300">
        <w:rPr>
          <w:sz w:val="28"/>
          <w:szCs w:val="28"/>
          <w:lang w:val="uk-UA"/>
        </w:rPr>
        <w:t xml:space="preserve"> капітального ремонту парового котла  №2 з заміною поверхонь нагріву, було затверджено суму у розмірі </w:t>
      </w:r>
      <w:r w:rsidRPr="004E006B">
        <w:rPr>
          <w:b/>
          <w:sz w:val="28"/>
          <w:szCs w:val="28"/>
          <w:lang w:val="uk-UA"/>
        </w:rPr>
        <w:t>4 338,4</w:t>
      </w:r>
      <w:r w:rsidRPr="00152300">
        <w:rPr>
          <w:sz w:val="28"/>
          <w:szCs w:val="28"/>
          <w:lang w:val="uk-UA"/>
        </w:rPr>
        <w:t xml:space="preserve">  </w:t>
      </w:r>
      <w:r w:rsidRPr="004E006B">
        <w:rPr>
          <w:b/>
          <w:sz w:val="28"/>
          <w:szCs w:val="28"/>
          <w:lang w:val="uk-UA"/>
        </w:rPr>
        <w:t>тис. грн. без ПДВ</w:t>
      </w:r>
      <w:r w:rsidRPr="00152300">
        <w:rPr>
          <w:sz w:val="28"/>
          <w:szCs w:val="28"/>
          <w:lang w:val="uk-UA"/>
        </w:rPr>
        <w:t xml:space="preserve"> (в т.ч. матеріалів – 2</w:t>
      </w:r>
      <w:r w:rsidRPr="00C300BB">
        <w:rPr>
          <w:sz w:val="28"/>
          <w:szCs w:val="28"/>
          <w:lang w:val="uk-UA"/>
        </w:rPr>
        <w:t xml:space="preserve"> </w:t>
      </w:r>
      <w:r w:rsidRPr="00152300">
        <w:rPr>
          <w:sz w:val="28"/>
          <w:szCs w:val="28"/>
          <w:lang w:val="uk-UA"/>
        </w:rPr>
        <w:t>500,1 тис. грн. без ПДВ, робіт 1</w:t>
      </w:r>
      <w:r w:rsidRPr="00C300BB">
        <w:rPr>
          <w:sz w:val="28"/>
          <w:szCs w:val="28"/>
          <w:lang w:val="uk-UA"/>
        </w:rPr>
        <w:t xml:space="preserve"> </w:t>
      </w:r>
      <w:r w:rsidRPr="00152300">
        <w:rPr>
          <w:sz w:val="28"/>
          <w:szCs w:val="28"/>
          <w:lang w:val="uk-UA"/>
        </w:rPr>
        <w:t>838,3 тис. грн. без ПДВ).</w:t>
      </w:r>
    </w:p>
    <w:p w:rsidR="00390D91" w:rsidRPr="00152300" w:rsidRDefault="00390D91" w:rsidP="00DD39A7">
      <w:pPr>
        <w:shd w:val="clear" w:color="auto" w:fill="FFFFFF"/>
        <w:spacing w:line="326" w:lineRule="exact"/>
        <w:ind w:firstLine="426"/>
        <w:jc w:val="both"/>
        <w:rPr>
          <w:sz w:val="28"/>
          <w:szCs w:val="28"/>
          <w:lang w:val="uk-UA"/>
        </w:rPr>
      </w:pPr>
      <w:r>
        <w:rPr>
          <w:sz w:val="28"/>
          <w:szCs w:val="28"/>
          <w:lang w:val="uk-UA"/>
        </w:rPr>
        <w:t xml:space="preserve">З метою виконання більш важливих робіт з ремонту основного та допоміжного обладнання підприємства було проведено </w:t>
      </w:r>
      <w:r w:rsidRPr="00152300">
        <w:rPr>
          <w:sz w:val="28"/>
          <w:szCs w:val="28"/>
          <w:lang w:val="uk-UA"/>
        </w:rPr>
        <w:t>уточнення об’ємів робіт</w:t>
      </w:r>
      <w:r>
        <w:rPr>
          <w:sz w:val="28"/>
          <w:szCs w:val="28"/>
          <w:lang w:val="uk-UA"/>
        </w:rPr>
        <w:t xml:space="preserve"> з капітального ремонту котла з метою вивільнення коштів на виконання непередбачених додаткових робіт. В результаті,</w:t>
      </w:r>
      <w:r w:rsidRPr="00152300">
        <w:rPr>
          <w:sz w:val="28"/>
          <w:szCs w:val="28"/>
          <w:lang w:val="uk-UA"/>
        </w:rPr>
        <w:t xml:space="preserve"> загальна вартість витрат для проведення капітального ремонту парового котла №2 з заміною поверхонь нагріву зменшилася та склала – </w:t>
      </w:r>
      <w:r w:rsidRPr="004E006B">
        <w:rPr>
          <w:sz w:val="28"/>
          <w:szCs w:val="28"/>
          <w:lang w:val="uk-UA"/>
        </w:rPr>
        <w:t>3 542,0  тис. грн. без ПДВ,</w:t>
      </w:r>
      <w:r w:rsidRPr="00152300">
        <w:rPr>
          <w:sz w:val="28"/>
          <w:szCs w:val="28"/>
          <w:lang w:val="uk-UA"/>
        </w:rPr>
        <w:t xml:space="preserve"> в тому числі вартість робіт  – 1</w:t>
      </w:r>
      <w:r>
        <w:rPr>
          <w:sz w:val="28"/>
          <w:szCs w:val="28"/>
        </w:rPr>
        <w:t xml:space="preserve"> </w:t>
      </w:r>
      <w:r w:rsidRPr="00152300">
        <w:rPr>
          <w:sz w:val="28"/>
          <w:szCs w:val="28"/>
          <w:lang w:val="uk-UA"/>
        </w:rPr>
        <w:t>041,9 тис. грн. без ПДВ, вартість матеріалів – 2</w:t>
      </w:r>
      <w:r w:rsidRPr="00983594">
        <w:rPr>
          <w:sz w:val="28"/>
          <w:szCs w:val="28"/>
        </w:rPr>
        <w:t xml:space="preserve"> </w:t>
      </w:r>
      <w:r w:rsidRPr="00152300">
        <w:rPr>
          <w:sz w:val="28"/>
          <w:szCs w:val="28"/>
          <w:lang w:val="uk-UA"/>
        </w:rPr>
        <w:t xml:space="preserve">500,1 тис. грн. без ПДВ. </w:t>
      </w:r>
    </w:p>
    <w:p w:rsidR="00390D91" w:rsidRDefault="00390D91" w:rsidP="000B7EC9">
      <w:pPr>
        <w:shd w:val="clear" w:color="auto" w:fill="FFFFFF"/>
        <w:spacing w:line="326" w:lineRule="exact"/>
        <w:ind w:firstLine="426"/>
        <w:jc w:val="both"/>
        <w:rPr>
          <w:sz w:val="28"/>
          <w:szCs w:val="28"/>
          <w:lang w:val="uk-UA"/>
        </w:rPr>
      </w:pPr>
      <w:r>
        <w:rPr>
          <w:sz w:val="28"/>
          <w:szCs w:val="28"/>
          <w:lang w:val="uk-UA"/>
        </w:rPr>
        <w:t>Вивільнені кошти у розмірі 796,4 тис. грн без ПДВ буде направлено на виконання робіт з усунення дефектів турбогенератора ТГ-3, парового котла ПК-1 та допоміжного обладнання КТЦ</w:t>
      </w:r>
      <w:r w:rsidRPr="00152300">
        <w:rPr>
          <w:sz w:val="28"/>
          <w:szCs w:val="28"/>
          <w:lang w:val="uk-UA"/>
        </w:rPr>
        <w:t>.</w:t>
      </w:r>
      <w:r w:rsidRPr="00012140">
        <w:rPr>
          <w:sz w:val="28"/>
          <w:szCs w:val="28"/>
          <w:lang w:val="uk-UA"/>
        </w:rPr>
        <w:t xml:space="preserve"> </w:t>
      </w:r>
    </w:p>
    <w:p w:rsidR="00390D91" w:rsidRDefault="00390D91" w:rsidP="003B049E">
      <w:pPr>
        <w:shd w:val="clear" w:color="auto" w:fill="FFFFFF"/>
        <w:spacing w:line="326" w:lineRule="exact"/>
        <w:ind w:firstLine="426"/>
        <w:jc w:val="both"/>
        <w:rPr>
          <w:sz w:val="28"/>
          <w:szCs w:val="28"/>
          <w:lang w:val="uk-UA"/>
        </w:rPr>
      </w:pPr>
    </w:p>
    <w:p w:rsidR="00390D91" w:rsidRDefault="00390D91" w:rsidP="003B049E">
      <w:pPr>
        <w:shd w:val="clear" w:color="auto" w:fill="FFFFFF"/>
        <w:spacing w:line="326" w:lineRule="exact"/>
        <w:ind w:firstLine="426"/>
        <w:jc w:val="both"/>
        <w:rPr>
          <w:sz w:val="28"/>
          <w:szCs w:val="28"/>
          <w:lang w:val="uk-UA"/>
        </w:rPr>
      </w:pPr>
    </w:p>
    <w:p w:rsidR="00390D91" w:rsidRDefault="00390D91" w:rsidP="003B049E">
      <w:pPr>
        <w:shd w:val="clear" w:color="auto" w:fill="FFFFFF"/>
        <w:spacing w:line="326" w:lineRule="exact"/>
        <w:ind w:firstLine="426"/>
        <w:jc w:val="both"/>
        <w:rPr>
          <w:sz w:val="28"/>
          <w:szCs w:val="28"/>
          <w:lang w:val="uk-UA"/>
        </w:rPr>
      </w:pPr>
    </w:p>
    <w:p w:rsidR="00390D91" w:rsidRDefault="00390D91" w:rsidP="003B049E">
      <w:pPr>
        <w:shd w:val="clear" w:color="auto" w:fill="FFFFFF"/>
        <w:spacing w:line="326" w:lineRule="exact"/>
        <w:ind w:firstLine="426"/>
        <w:jc w:val="both"/>
        <w:rPr>
          <w:sz w:val="28"/>
          <w:szCs w:val="28"/>
          <w:lang w:val="uk-UA"/>
        </w:rPr>
      </w:pPr>
    </w:p>
    <w:p w:rsidR="00390D91" w:rsidRPr="005238A3" w:rsidRDefault="00390D91" w:rsidP="00785519">
      <w:pPr>
        <w:shd w:val="clear" w:color="auto" w:fill="FFFFFF"/>
        <w:spacing w:line="326" w:lineRule="exact"/>
        <w:ind w:firstLine="426"/>
        <w:jc w:val="center"/>
        <w:rPr>
          <w:b/>
          <w:sz w:val="28"/>
          <w:szCs w:val="28"/>
          <w:lang w:val="uk-UA"/>
        </w:rPr>
      </w:pPr>
    </w:p>
    <w:sectPr w:rsidR="00390D91" w:rsidRPr="005238A3" w:rsidSect="00F83610">
      <w:pgSz w:w="11906" w:h="16838"/>
      <w:pgMar w:top="851" w:right="566" w:bottom="709"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821"/>
    <w:multiLevelType w:val="hybridMultilevel"/>
    <w:tmpl w:val="3D986914"/>
    <w:lvl w:ilvl="0" w:tplc="AC9C4C7A">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4FD6795"/>
    <w:multiLevelType w:val="hybridMultilevel"/>
    <w:tmpl w:val="5C6C1F0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F0173B9"/>
    <w:multiLevelType w:val="hybridMultilevel"/>
    <w:tmpl w:val="0256E716"/>
    <w:lvl w:ilvl="0" w:tplc="D77683C8">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3EF56CAA"/>
    <w:multiLevelType w:val="hybridMultilevel"/>
    <w:tmpl w:val="FC2A7C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510E414C"/>
    <w:multiLevelType w:val="hybridMultilevel"/>
    <w:tmpl w:val="531CCD5C"/>
    <w:lvl w:ilvl="0" w:tplc="7BD0373C">
      <w:start w:val="1"/>
      <w:numFmt w:val="decimal"/>
      <w:lvlText w:val="%1."/>
      <w:lvlJc w:val="left"/>
      <w:pPr>
        <w:ind w:left="1421" w:hanging="360"/>
      </w:pPr>
      <w:rPr>
        <w:rFonts w:cs="Times New Roman" w:hint="default"/>
      </w:rPr>
    </w:lvl>
    <w:lvl w:ilvl="1" w:tplc="04190019" w:tentative="1">
      <w:start w:val="1"/>
      <w:numFmt w:val="lowerLetter"/>
      <w:lvlText w:val="%2."/>
      <w:lvlJc w:val="left"/>
      <w:pPr>
        <w:ind w:left="2141" w:hanging="360"/>
      </w:pPr>
      <w:rPr>
        <w:rFonts w:cs="Times New Roman"/>
      </w:rPr>
    </w:lvl>
    <w:lvl w:ilvl="2" w:tplc="0419001B" w:tentative="1">
      <w:start w:val="1"/>
      <w:numFmt w:val="lowerRoman"/>
      <w:lvlText w:val="%3."/>
      <w:lvlJc w:val="right"/>
      <w:pPr>
        <w:ind w:left="2861" w:hanging="180"/>
      </w:pPr>
      <w:rPr>
        <w:rFonts w:cs="Times New Roman"/>
      </w:rPr>
    </w:lvl>
    <w:lvl w:ilvl="3" w:tplc="0419000F" w:tentative="1">
      <w:start w:val="1"/>
      <w:numFmt w:val="decimal"/>
      <w:lvlText w:val="%4."/>
      <w:lvlJc w:val="left"/>
      <w:pPr>
        <w:ind w:left="3581" w:hanging="360"/>
      </w:pPr>
      <w:rPr>
        <w:rFonts w:cs="Times New Roman"/>
      </w:rPr>
    </w:lvl>
    <w:lvl w:ilvl="4" w:tplc="04190019" w:tentative="1">
      <w:start w:val="1"/>
      <w:numFmt w:val="lowerLetter"/>
      <w:lvlText w:val="%5."/>
      <w:lvlJc w:val="left"/>
      <w:pPr>
        <w:ind w:left="4301" w:hanging="360"/>
      </w:pPr>
      <w:rPr>
        <w:rFonts w:cs="Times New Roman"/>
      </w:rPr>
    </w:lvl>
    <w:lvl w:ilvl="5" w:tplc="0419001B" w:tentative="1">
      <w:start w:val="1"/>
      <w:numFmt w:val="lowerRoman"/>
      <w:lvlText w:val="%6."/>
      <w:lvlJc w:val="right"/>
      <w:pPr>
        <w:ind w:left="5021" w:hanging="180"/>
      </w:pPr>
      <w:rPr>
        <w:rFonts w:cs="Times New Roman"/>
      </w:rPr>
    </w:lvl>
    <w:lvl w:ilvl="6" w:tplc="0419000F" w:tentative="1">
      <w:start w:val="1"/>
      <w:numFmt w:val="decimal"/>
      <w:lvlText w:val="%7."/>
      <w:lvlJc w:val="left"/>
      <w:pPr>
        <w:ind w:left="5741" w:hanging="360"/>
      </w:pPr>
      <w:rPr>
        <w:rFonts w:cs="Times New Roman"/>
      </w:rPr>
    </w:lvl>
    <w:lvl w:ilvl="7" w:tplc="04190019" w:tentative="1">
      <w:start w:val="1"/>
      <w:numFmt w:val="lowerLetter"/>
      <w:lvlText w:val="%8."/>
      <w:lvlJc w:val="left"/>
      <w:pPr>
        <w:ind w:left="6461" w:hanging="360"/>
      </w:pPr>
      <w:rPr>
        <w:rFonts w:cs="Times New Roman"/>
      </w:rPr>
    </w:lvl>
    <w:lvl w:ilvl="8" w:tplc="0419001B" w:tentative="1">
      <w:start w:val="1"/>
      <w:numFmt w:val="lowerRoman"/>
      <w:lvlText w:val="%9."/>
      <w:lvlJc w:val="right"/>
      <w:pPr>
        <w:ind w:left="7181" w:hanging="180"/>
      </w:pPr>
      <w:rPr>
        <w:rFonts w:cs="Times New Roman"/>
      </w:rPr>
    </w:lvl>
  </w:abstractNum>
  <w:abstractNum w:abstractNumId="5">
    <w:nsid w:val="62E0002D"/>
    <w:multiLevelType w:val="hybridMultilevel"/>
    <w:tmpl w:val="000E6A40"/>
    <w:lvl w:ilvl="0" w:tplc="72326FD0">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7A863FBC"/>
    <w:multiLevelType w:val="hybridMultilevel"/>
    <w:tmpl w:val="1D2A3F50"/>
    <w:lvl w:ilvl="0" w:tplc="0F06C7B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5C7"/>
    <w:rsid w:val="00000A8E"/>
    <w:rsid w:val="00012140"/>
    <w:rsid w:val="00023CCE"/>
    <w:rsid w:val="00042303"/>
    <w:rsid w:val="0004455E"/>
    <w:rsid w:val="0005719C"/>
    <w:rsid w:val="0006473B"/>
    <w:rsid w:val="00066E2A"/>
    <w:rsid w:val="00071EB3"/>
    <w:rsid w:val="00076468"/>
    <w:rsid w:val="00084A8D"/>
    <w:rsid w:val="00090F7A"/>
    <w:rsid w:val="000A0B3F"/>
    <w:rsid w:val="000A7220"/>
    <w:rsid w:val="000B1820"/>
    <w:rsid w:val="000B25C7"/>
    <w:rsid w:val="000B5CCB"/>
    <w:rsid w:val="000B7EC9"/>
    <w:rsid w:val="000C2D01"/>
    <w:rsid w:val="000C6B7D"/>
    <w:rsid w:val="000E5416"/>
    <w:rsid w:val="0010012D"/>
    <w:rsid w:val="00100463"/>
    <w:rsid w:val="0010054B"/>
    <w:rsid w:val="00113159"/>
    <w:rsid w:val="00123160"/>
    <w:rsid w:val="001318D1"/>
    <w:rsid w:val="00141A05"/>
    <w:rsid w:val="0014517D"/>
    <w:rsid w:val="00152300"/>
    <w:rsid w:val="00153AA0"/>
    <w:rsid w:val="00154D3B"/>
    <w:rsid w:val="00160936"/>
    <w:rsid w:val="00165514"/>
    <w:rsid w:val="00177056"/>
    <w:rsid w:val="00195E68"/>
    <w:rsid w:val="00197B42"/>
    <w:rsid w:val="001A0CD6"/>
    <w:rsid w:val="001B25E3"/>
    <w:rsid w:val="001B67A9"/>
    <w:rsid w:val="001B7DBC"/>
    <w:rsid w:val="001C414E"/>
    <w:rsid w:val="001C609F"/>
    <w:rsid w:val="001D0D5F"/>
    <w:rsid w:val="001E4534"/>
    <w:rsid w:val="001F68D2"/>
    <w:rsid w:val="00203A01"/>
    <w:rsid w:val="00207B16"/>
    <w:rsid w:val="00220D63"/>
    <w:rsid w:val="00225D6F"/>
    <w:rsid w:val="00246782"/>
    <w:rsid w:val="00253A8C"/>
    <w:rsid w:val="00254A80"/>
    <w:rsid w:val="002664EF"/>
    <w:rsid w:val="002756DF"/>
    <w:rsid w:val="002B5A53"/>
    <w:rsid w:val="002C29F8"/>
    <w:rsid w:val="002C2CA2"/>
    <w:rsid w:val="002D57B3"/>
    <w:rsid w:val="002D68CD"/>
    <w:rsid w:val="002E1F47"/>
    <w:rsid w:val="002E3C8E"/>
    <w:rsid w:val="002E74D3"/>
    <w:rsid w:val="002F1B5F"/>
    <w:rsid w:val="002F2C2D"/>
    <w:rsid w:val="002F459E"/>
    <w:rsid w:val="002F5191"/>
    <w:rsid w:val="002F57E7"/>
    <w:rsid w:val="002F65F3"/>
    <w:rsid w:val="0030039D"/>
    <w:rsid w:val="00301CD4"/>
    <w:rsid w:val="00303709"/>
    <w:rsid w:val="003044EE"/>
    <w:rsid w:val="00307250"/>
    <w:rsid w:val="00314108"/>
    <w:rsid w:val="00314D8F"/>
    <w:rsid w:val="00314E92"/>
    <w:rsid w:val="0032134B"/>
    <w:rsid w:val="0033095D"/>
    <w:rsid w:val="00334B38"/>
    <w:rsid w:val="003358BE"/>
    <w:rsid w:val="00335EEE"/>
    <w:rsid w:val="00342287"/>
    <w:rsid w:val="00355646"/>
    <w:rsid w:val="00374F88"/>
    <w:rsid w:val="00375114"/>
    <w:rsid w:val="00386A25"/>
    <w:rsid w:val="00390447"/>
    <w:rsid w:val="00390D91"/>
    <w:rsid w:val="003A17D9"/>
    <w:rsid w:val="003A23FF"/>
    <w:rsid w:val="003A24F7"/>
    <w:rsid w:val="003A73C5"/>
    <w:rsid w:val="003B049E"/>
    <w:rsid w:val="003B672F"/>
    <w:rsid w:val="003C03B7"/>
    <w:rsid w:val="003D531F"/>
    <w:rsid w:val="003D5CB9"/>
    <w:rsid w:val="003D7A28"/>
    <w:rsid w:val="004062F8"/>
    <w:rsid w:val="00407336"/>
    <w:rsid w:val="00407614"/>
    <w:rsid w:val="004149CD"/>
    <w:rsid w:val="00422BA2"/>
    <w:rsid w:val="00436BD1"/>
    <w:rsid w:val="0044023F"/>
    <w:rsid w:val="00445650"/>
    <w:rsid w:val="00447BA4"/>
    <w:rsid w:val="004511DD"/>
    <w:rsid w:val="004520F1"/>
    <w:rsid w:val="00463C64"/>
    <w:rsid w:val="00470C6E"/>
    <w:rsid w:val="00482C07"/>
    <w:rsid w:val="0048431B"/>
    <w:rsid w:val="00484C0F"/>
    <w:rsid w:val="004956D7"/>
    <w:rsid w:val="004A1501"/>
    <w:rsid w:val="004A50AD"/>
    <w:rsid w:val="004B7D55"/>
    <w:rsid w:val="004C02A4"/>
    <w:rsid w:val="004C3907"/>
    <w:rsid w:val="004C4C6E"/>
    <w:rsid w:val="004D3464"/>
    <w:rsid w:val="004E006B"/>
    <w:rsid w:val="004F2253"/>
    <w:rsid w:val="00505EAC"/>
    <w:rsid w:val="005238A3"/>
    <w:rsid w:val="005343B4"/>
    <w:rsid w:val="00534FF0"/>
    <w:rsid w:val="00553C06"/>
    <w:rsid w:val="005548D2"/>
    <w:rsid w:val="00567669"/>
    <w:rsid w:val="00573EB7"/>
    <w:rsid w:val="00574E68"/>
    <w:rsid w:val="005766AF"/>
    <w:rsid w:val="005773C4"/>
    <w:rsid w:val="00577D01"/>
    <w:rsid w:val="005A3493"/>
    <w:rsid w:val="005A6711"/>
    <w:rsid w:val="005C2EA1"/>
    <w:rsid w:val="005E0831"/>
    <w:rsid w:val="005E4CBB"/>
    <w:rsid w:val="005E5141"/>
    <w:rsid w:val="005F1298"/>
    <w:rsid w:val="005F17EC"/>
    <w:rsid w:val="005F5DF3"/>
    <w:rsid w:val="006005BF"/>
    <w:rsid w:val="00602EAB"/>
    <w:rsid w:val="0061038E"/>
    <w:rsid w:val="00622E79"/>
    <w:rsid w:val="00631021"/>
    <w:rsid w:val="00651E1C"/>
    <w:rsid w:val="00670D40"/>
    <w:rsid w:val="006741F2"/>
    <w:rsid w:val="00676131"/>
    <w:rsid w:val="00677EFE"/>
    <w:rsid w:val="006965AD"/>
    <w:rsid w:val="006B2672"/>
    <w:rsid w:val="006B7B31"/>
    <w:rsid w:val="006E6D1E"/>
    <w:rsid w:val="006F7DE7"/>
    <w:rsid w:val="007077FC"/>
    <w:rsid w:val="00707810"/>
    <w:rsid w:val="00711A35"/>
    <w:rsid w:val="00714FC4"/>
    <w:rsid w:val="00717203"/>
    <w:rsid w:val="00722395"/>
    <w:rsid w:val="00724486"/>
    <w:rsid w:val="00725CF8"/>
    <w:rsid w:val="00732130"/>
    <w:rsid w:val="00741CB2"/>
    <w:rsid w:val="00745547"/>
    <w:rsid w:val="00753571"/>
    <w:rsid w:val="00765144"/>
    <w:rsid w:val="00773249"/>
    <w:rsid w:val="007767E5"/>
    <w:rsid w:val="00785519"/>
    <w:rsid w:val="00786192"/>
    <w:rsid w:val="007A3CB1"/>
    <w:rsid w:val="007B2812"/>
    <w:rsid w:val="007B4431"/>
    <w:rsid w:val="007B46D3"/>
    <w:rsid w:val="007C4E38"/>
    <w:rsid w:val="007C55A3"/>
    <w:rsid w:val="007D04BF"/>
    <w:rsid w:val="007E3D0E"/>
    <w:rsid w:val="007E5942"/>
    <w:rsid w:val="007E5D61"/>
    <w:rsid w:val="008121F9"/>
    <w:rsid w:val="0081686F"/>
    <w:rsid w:val="008205E9"/>
    <w:rsid w:val="00823705"/>
    <w:rsid w:val="00827CE2"/>
    <w:rsid w:val="00832CC1"/>
    <w:rsid w:val="00834BA6"/>
    <w:rsid w:val="0083753D"/>
    <w:rsid w:val="008522A6"/>
    <w:rsid w:val="008569A9"/>
    <w:rsid w:val="00860E35"/>
    <w:rsid w:val="008614D1"/>
    <w:rsid w:val="008661C7"/>
    <w:rsid w:val="00896FCC"/>
    <w:rsid w:val="008A58FE"/>
    <w:rsid w:val="008B0D41"/>
    <w:rsid w:val="008B2960"/>
    <w:rsid w:val="008C7102"/>
    <w:rsid w:val="008D53DD"/>
    <w:rsid w:val="008E6146"/>
    <w:rsid w:val="008E661E"/>
    <w:rsid w:val="008E7C53"/>
    <w:rsid w:val="008F4C45"/>
    <w:rsid w:val="00912A62"/>
    <w:rsid w:val="00914558"/>
    <w:rsid w:val="009148E5"/>
    <w:rsid w:val="00923FC5"/>
    <w:rsid w:val="00927C2F"/>
    <w:rsid w:val="00930E73"/>
    <w:rsid w:val="00944FA2"/>
    <w:rsid w:val="00966C88"/>
    <w:rsid w:val="00972DC9"/>
    <w:rsid w:val="00973AA6"/>
    <w:rsid w:val="00983594"/>
    <w:rsid w:val="0099346D"/>
    <w:rsid w:val="00994890"/>
    <w:rsid w:val="009A3714"/>
    <w:rsid w:val="009B0CC3"/>
    <w:rsid w:val="009B1FFC"/>
    <w:rsid w:val="009B4F90"/>
    <w:rsid w:val="009C2346"/>
    <w:rsid w:val="009C77D6"/>
    <w:rsid w:val="009E2546"/>
    <w:rsid w:val="009E3808"/>
    <w:rsid w:val="00A02E20"/>
    <w:rsid w:val="00A0515C"/>
    <w:rsid w:val="00A10CF0"/>
    <w:rsid w:val="00A1759A"/>
    <w:rsid w:val="00A265A2"/>
    <w:rsid w:val="00A3282B"/>
    <w:rsid w:val="00A52377"/>
    <w:rsid w:val="00A54793"/>
    <w:rsid w:val="00A60283"/>
    <w:rsid w:val="00A655C7"/>
    <w:rsid w:val="00A6651E"/>
    <w:rsid w:val="00A674AA"/>
    <w:rsid w:val="00A71FFF"/>
    <w:rsid w:val="00A800AE"/>
    <w:rsid w:val="00A91BD9"/>
    <w:rsid w:val="00AA0F0B"/>
    <w:rsid w:val="00AA2FBE"/>
    <w:rsid w:val="00AC25A1"/>
    <w:rsid w:val="00AE13E0"/>
    <w:rsid w:val="00AE2BAC"/>
    <w:rsid w:val="00AF1378"/>
    <w:rsid w:val="00AF52F4"/>
    <w:rsid w:val="00AF6406"/>
    <w:rsid w:val="00AF6790"/>
    <w:rsid w:val="00B05B24"/>
    <w:rsid w:val="00B06AD9"/>
    <w:rsid w:val="00B14B72"/>
    <w:rsid w:val="00B458A6"/>
    <w:rsid w:val="00B46EAB"/>
    <w:rsid w:val="00B50C8E"/>
    <w:rsid w:val="00B57C9A"/>
    <w:rsid w:val="00B61D2D"/>
    <w:rsid w:val="00B722DD"/>
    <w:rsid w:val="00B73824"/>
    <w:rsid w:val="00B753D0"/>
    <w:rsid w:val="00B85219"/>
    <w:rsid w:val="00B91F1A"/>
    <w:rsid w:val="00BA7761"/>
    <w:rsid w:val="00BB14EC"/>
    <w:rsid w:val="00BB2F0E"/>
    <w:rsid w:val="00BB5BA6"/>
    <w:rsid w:val="00BC6F51"/>
    <w:rsid w:val="00BD24C7"/>
    <w:rsid w:val="00BE0310"/>
    <w:rsid w:val="00BE24F6"/>
    <w:rsid w:val="00BE2F13"/>
    <w:rsid w:val="00BE6ADC"/>
    <w:rsid w:val="00BF4CE1"/>
    <w:rsid w:val="00C01BBF"/>
    <w:rsid w:val="00C01CC6"/>
    <w:rsid w:val="00C053C4"/>
    <w:rsid w:val="00C1000A"/>
    <w:rsid w:val="00C13A31"/>
    <w:rsid w:val="00C14BDF"/>
    <w:rsid w:val="00C300BB"/>
    <w:rsid w:val="00C309A6"/>
    <w:rsid w:val="00C36D1F"/>
    <w:rsid w:val="00C43240"/>
    <w:rsid w:val="00C439FB"/>
    <w:rsid w:val="00C45B2F"/>
    <w:rsid w:val="00C653D6"/>
    <w:rsid w:val="00C732D8"/>
    <w:rsid w:val="00C80B12"/>
    <w:rsid w:val="00C835FD"/>
    <w:rsid w:val="00C87A04"/>
    <w:rsid w:val="00C9069C"/>
    <w:rsid w:val="00C91A31"/>
    <w:rsid w:val="00CA6FA3"/>
    <w:rsid w:val="00CB01D1"/>
    <w:rsid w:val="00CB226D"/>
    <w:rsid w:val="00CB56AE"/>
    <w:rsid w:val="00CF1B68"/>
    <w:rsid w:val="00CF481E"/>
    <w:rsid w:val="00CF6BFC"/>
    <w:rsid w:val="00D0184F"/>
    <w:rsid w:val="00D04F8E"/>
    <w:rsid w:val="00D119ED"/>
    <w:rsid w:val="00D140DC"/>
    <w:rsid w:val="00D23BF9"/>
    <w:rsid w:val="00D266EC"/>
    <w:rsid w:val="00D33C77"/>
    <w:rsid w:val="00D35A51"/>
    <w:rsid w:val="00D47704"/>
    <w:rsid w:val="00D50C9B"/>
    <w:rsid w:val="00D513CA"/>
    <w:rsid w:val="00D53A1F"/>
    <w:rsid w:val="00D65559"/>
    <w:rsid w:val="00D90C44"/>
    <w:rsid w:val="00D91FE3"/>
    <w:rsid w:val="00DA3326"/>
    <w:rsid w:val="00DA63E2"/>
    <w:rsid w:val="00DB222B"/>
    <w:rsid w:val="00DB379E"/>
    <w:rsid w:val="00DB5A54"/>
    <w:rsid w:val="00DB7F0A"/>
    <w:rsid w:val="00DC3A38"/>
    <w:rsid w:val="00DD142B"/>
    <w:rsid w:val="00DD39A7"/>
    <w:rsid w:val="00DE0273"/>
    <w:rsid w:val="00DE05A0"/>
    <w:rsid w:val="00E06C23"/>
    <w:rsid w:val="00E12580"/>
    <w:rsid w:val="00E12CAC"/>
    <w:rsid w:val="00E22750"/>
    <w:rsid w:val="00E30008"/>
    <w:rsid w:val="00E32AAC"/>
    <w:rsid w:val="00E331CC"/>
    <w:rsid w:val="00E34A45"/>
    <w:rsid w:val="00E43566"/>
    <w:rsid w:val="00E46D97"/>
    <w:rsid w:val="00E70B80"/>
    <w:rsid w:val="00E77606"/>
    <w:rsid w:val="00E86E43"/>
    <w:rsid w:val="00E87578"/>
    <w:rsid w:val="00E92E00"/>
    <w:rsid w:val="00E95624"/>
    <w:rsid w:val="00EB04AD"/>
    <w:rsid w:val="00EB485B"/>
    <w:rsid w:val="00EC157F"/>
    <w:rsid w:val="00EE3B83"/>
    <w:rsid w:val="00EF01A0"/>
    <w:rsid w:val="00EF1B5B"/>
    <w:rsid w:val="00EF2CB8"/>
    <w:rsid w:val="00EF42A8"/>
    <w:rsid w:val="00EF7B0C"/>
    <w:rsid w:val="00F00BDA"/>
    <w:rsid w:val="00F02B48"/>
    <w:rsid w:val="00F10EFC"/>
    <w:rsid w:val="00F14912"/>
    <w:rsid w:val="00F27909"/>
    <w:rsid w:val="00F3342E"/>
    <w:rsid w:val="00F3566D"/>
    <w:rsid w:val="00F6088E"/>
    <w:rsid w:val="00F745C6"/>
    <w:rsid w:val="00F7555B"/>
    <w:rsid w:val="00F7630A"/>
    <w:rsid w:val="00F83610"/>
    <w:rsid w:val="00F85BEA"/>
    <w:rsid w:val="00F868F4"/>
    <w:rsid w:val="00F93568"/>
    <w:rsid w:val="00F94572"/>
    <w:rsid w:val="00FA1019"/>
    <w:rsid w:val="00FA6549"/>
    <w:rsid w:val="00FA7784"/>
    <w:rsid w:val="00FB11D4"/>
    <w:rsid w:val="00FB4A67"/>
    <w:rsid w:val="00FC180E"/>
    <w:rsid w:val="00FC1B56"/>
    <w:rsid w:val="00FC32A6"/>
    <w:rsid w:val="00FC5F2D"/>
    <w:rsid w:val="00FD6175"/>
    <w:rsid w:val="00FE411F"/>
    <w:rsid w:val="00FE5A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A2"/>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265A2"/>
    <w:rPr>
      <w:sz w:val="52"/>
      <w:lang w:val="uk-UA"/>
    </w:rPr>
  </w:style>
  <w:style w:type="character" w:customStyle="1" w:styleId="BodyTextChar">
    <w:name w:val="Body Text Char"/>
    <w:basedOn w:val="DefaultParagraphFont"/>
    <w:link w:val="BodyText"/>
    <w:uiPriority w:val="99"/>
    <w:semiHidden/>
    <w:rsid w:val="00891EBE"/>
    <w:rPr>
      <w:sz w:val="20"/>
      <w:szCs w:val="20"/>
    </w:rPr>
  </w:style>
  <w:style w:type="table" w:styleId="TableGrid">
    <w:name w:val="Table Grid"/>
    <w:basedOn w:val="TableNormal"/>
    <w:uiPriority w:val="99"/>
    <w:rsid w:val="00A265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664EF"/>
    <w:rPr>
      <w:rFonts w:ascii="Tahoma" w:hAnsi="Tahoma" w:cs="Tahoma"/>
      <w:sz w:val="16"/>
      <w:szCs w:val="16"/>
    </w:rPr>
  </w:style>
  <w:style w:type="character" w:customStyle="1" w:styleId="BalloonTextChar">
    <w:name w:val="Balloon Text Char"/>
    <w:basedOn w:val="DefaultParagraphFont"/>
    <w:link w:val="BalloonText"/>
    <w:uiPriority w:val="99"/>
    <w:semiHidden/>
    <w:rsid w:val="00891EBE"/>
    <w:rPr>
      <w:sz w:val="0"/>
      <w:szCs w:val="0"/>
    </w:rPr>
  </w:style>
  <w:style w:type="paragraph" w:styleId="ListParagraph">
    <w:name w:val="List Paragraph"/>
    <w:basedOn w:val="Normal"/>
    <w:uiPriority w:val="99"/>
    <w:qFormat/>
    <w:rsid w:val="00C91A31"/>
    <w:pPr>
      <w:ind w:left="720"/>
      <w:contextualSpacing/>
    </w:pPr>
  </w:style>
  <w:style w:type="paragraph" w:customStyle="1" w:styleId="Style6">
    <w:name w:val="Style6"/>
    <w:basedOn w:val="Normal"/>
    <w:uiPriority w:val="99"/>
    <w:rsid w:val="005A6711"/>
    <w:pPr>
      <w:widowControl w:val="0"/>
      <w:autoSpaceDE w:val="0"/>
      <w:autoSpaceDN w:val="0"/>
      <w:adjustRightInd w:val="0"/>
      <w:spacing w:line="360" w:lineRule="exact"/>
      <w:ind w:firstLine="739"/>
    </w:pPr>
    <w:rPr>
      <w:sz w:val="24"/>
      <w:szCs w:val="24"/>
      <w:lang w:val="uk-UA"/>
    </w:rPr>
  </w:style>
  <w:style w:type="character" w:customStyle="1" w:styleId="FontStyle13">
    <w:name w:val="Font Style13"/>
    <w:basedOn w:val="DefaultParagraphFont"/>
    <w:uiPriority w:val="99"/>
    <w:rsid w:val="005A6711"/>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359091084">
      <w:marLeft w:val="0"/>
      <w:marRight w:val="0"/>
      <w:marTop w:val="0"/>
      <w:marBottom w:val="0"/>
      <w:divBdr>
        <w:top w:val="none" w:sz="0" w:space="0" w:color="auto"/>
        <w:left w:val="none" w:sz="0" w:space="0" w:color="auto"/>
        <w:bottom w:val="none" w:sz="0" w:space="0" w:color="auto"/>
        <w:right w:val="none" w:sz="0" w:space="0" w:color="auto"/>
      </w:divBdr>
    </w:div>
    <w:div w:id="359091085">
      <w:marLeft w:val="0"/>
      <w:marRight w:val="0"/>
      <w:marTop w:val="0"/>
      <w:marBottom w:val="0"/>
      <w:divBdr>
        <w:top w:val="none" w:sz="0" w:space="0" w:color="auto"/>
        <w:left w:val="none" w:sz="0" w:space="0" w:color="auto"/>
        <w:bottom w:val="none" w:sz="0" w:space="0" w:color="auto"/>
        <w:right w:val="none" w:sz="0" w:space="0" w:color="auto"/>
      </w:divBdr>
    </w:div>
    <w:div w:id="359091086">
      <w:marLeft w:val="0"/>
      <w:marRight w:val="0"/>
      <w:marTop w:val="0"/>
      <w:marBottom w:val="0"/>
      <w:divBdr>
        <w:top w:val="none" w:sz="0" w:space="0" w:color="auto"/>
        <w:left w:val="none" w:sz="0" w:space="0" w:color="auto"/>
        <w:bottom w:val="none" w:sz="0" w:space="0" w:color="auto"/>
        <w:right w:val="none" w:sz="0" w:space="0" w:color="auto"/>
      </w:divBdr>
    </w:div>
    <w:div w:id="359091087">
      <w:marLeft w:val="0"/>
      <w:marRight w:val="0"/>
      <w:marTop w:val="0"/>
      <w:marBottom w:val="0"/>
      <w:divBdr>
        <w:top w:val="none" w:sz="0" w:space="0" w:color="auto"/>
        <w:left w:val="none" w:sz="0" w:space="0" w:color="auto"/>
        <w:bottom w:val="none" w:sz="0" w:space="0" w:color="auto"/>
        <w:right w:val="none" w:sz="0" w:space="0" w:color="auto"/>
      </w:divBdr>
    </w:div>
    <w:div w:id="359091088">
      <w:marLeft w:val="0"/>
      <w:marRight w:val="0"/>
      <w:marTop w:val="0"/>
      <w:marBottom w:val="0"/>
      <w:divBdr>
        <w:top w:val="none" w:sz="0" w:space="0" w:color="auto"/>
        <w:left w:val="none" w:sz="0" w:space="0" w:color="auto"/>
        <w:bottom w:val="none" w:sz="0" w:space="0" w:color="auto"/>
        <w:right w:val="none" w:sz="0" w:space="0" w:color="auto"/>
      </w:divBdr>
    </w:div>
    <w:div w:id="359091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5</Pages>
  <Words>1757</Words>
  <Characters>10020</Characters>
  <Application>Microsoft Office Outlook</Application>
  <DocSecurity>0</DocSecurity>
  <Lines>0</Lines>
  <Paragraphs>0</Paragraphs>
  <ScaleCrop>false</ScaleCrop>
  <Company>Tehnova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KucherenkoKV</dc:creator>
  <cp:keywords/>
  <dc:description/>
  <cp:lastModifiedBy>WIN</cp:lastModifiedBy>
  <cp:revision>18</cp:revision>
  <cp:lastPrinted>2019-06-19T09:59:00Z</cp:lastPrinted>
  <dcterms:created xsi:type="dcterms:W3CDTF">2019-06-19T09:24:00Z</dcterms:created>
  <dcterms:modified xsi:type="dcterms:W3CDTF">2019-06-19T12:26:00Z</dcterms:modified>
</cp:coreProperties>
</file>